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Lunate Capital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1, FLOOR 12, AL MARYAH TOWER</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ABU DHABI GLOBAL MARKET SQUARE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 MARYAH ISLAND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06/30/2026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Neutron Holdings, Inc.</w:t>
              </w:r>
            </w:hyperlink>
            <w:r>
              <w:rPr/>
              <w:t xml:space="preserve"> [ </w:t>
            </w:r>
            <w:r>
              <w:rPr>
                <w:rFonts w:ascii="Times;serif" w:hAnsi="Times;serif"/>
                <w:color w:val="0000FF"/>
                <w:sz w:val="24"/>
                <w:shd w:fill="FFFFFF" w:val="clear"/>
              </w:rPr>
              <w:t>LIME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9,815,949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Lunate Capital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1, FLOOR 12, AL MARYAH TOWER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ABU DHABI GLOBAL MARKET SQUARE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 MARYAH ISLAND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Sapphire Direct Holdings RSC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NO. 1, FLOOR 12, AL MARYAH TOWER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ABU DHABI GLOBAL MARKET SQUARE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 MARYAH ISLAND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Lunate Legacy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NO. 1, FLOOR 12, AL MARYAH TOWER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ABU DHABI GLOBAL MARKET SQUARE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 MARYAH ISLAND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Lunate Legacy II (GP) SPV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NO. 1, FLOOR 12, AL MARYAH TOWER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ABU DHABI GLOBAL MARKET SQUARE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 MARYAH ISLAND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Lunate Holding RSC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 1, FLOOR 12, AL MARYAH TOWER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ABU DHABI GLOBAL MARKET SQUARE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 MARYAH ISLAND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Chimera Investment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RG PROCUREMENT RESTRICTED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EAST 0.48, AL MUNTAZAH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ABU DHABI ISLAND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par value $0.0001 per share ("Common Stock"), of Neutron Holdings, Inc. (the "Issuer") reported herein are directly held by Sapphire Direct Holdings RSC Ltd ("Sapphire"). Sapphire is wholly owned by Lunate Legacy II LP ("Lunate Legacy II"). The general partner of Lunate Legacy II is Lunate Legacy II (GP) SPV Ltd ("Lunate Legacy II GP"). Lunate Capital Limited ("Lunate") is the investment manager of Lunate Legacy II and wholly owns Lunate Legacy II GP. Lunate Holding RSC Ltd ("Lunate Holding") wholly owns Lunate. Lunate Holding is majority-owned by Chimera Investment LLC ("Chimera"). By virtue of their relationships with Sapphire, Lunate Legacy II, Lunate Legacy II GP, Lunate, Lunate Holding and Chimera may be deemed to beneficially own securities of the Issuer beneficially owned by Sapphire.</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LUNATE CAPITAL LIMITED, by: /s/ Khalifa Sultan Sultan Hazim Alsuwaidi,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SAPPHIRE DIRECT HOLDINGS RSC LTD, by: /s/ Jason Loveless,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LUNATE LEGACY II LP, by: /s/ Khalifa Sultan Sultan Hazim Alsuwaidi,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LUNATE LEGACY II (GP) SPV LTD, by: /s/ Khalifa Sultan Sultan Hazim Alsuwaidi,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LUNATE HOLDING RSC LTD, by: /s/ Syed Basar Shueb Syed Shueb,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CHIMERA INVESTMENT LLC, by: /s/ Syed Basar Shueb Syed Shueb,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pPr>
      <w:r>
        <w:rPr/>
      </w:r>
      <w:bookmarkStart w:id="2" w:name="exhibit_99-1.htm"/>
      <w:bookmarkStart w:id="3" w:name="ksexhibit_991"/>
      <w:bookmarkStart w:id="4" w:name="exhibit_99-1.htm"/>
      <w:bookmarkStart w:id="5" w:name="ksexhibit_991"/>
      <w:bookmarkEnd w:id="4"/>
      <w:bookmarkEnd w:id="5"/>
      <w:r>
        <w:br w:type="page"/>
      </w:r>
    </w:p>
    <w:p>
      <w:pPr>
        <w:pStyle w:val="TextBody"/>
        <w:bidi w:val="0"/>
        <w:spacing w:before="0" w:after="0"/>
        <w:ind w:left="7200" w:right="630" w:hanging="0"/>
        <w:jc w:val="left"/>
        <w:rPr>
          <w:color w:val="000000"/>
        </w:rPr>
      </w:pPr>
      <w:r>
        <w:rPr>
          <w:color w:val="000000"/>
        </w:rPr>
        <w:t xml:space="preserve">                       </w:t>
      </w:r>
      <w:r>
        <w:rPr>
          <w:rFonts w:ascii="Times New Roman;Times;serif" w:hAnsi="Times New Roman;Times;serif"/>
          <w:b/>
          <w:color w:val="000000"/>
          <w:sz w:val="24"/>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630" w:hanging="0"/>
        <w:jc w:val="center"/>
        <w:rPr>
          <w:rFonts w:ascii="Times New Roman;Times;serif" w:hAnsi="Times New Roman;Times;serif"/>
          <w:b/>
          <w:color w:val="000000"/>
          <w:sz w:val="24"/>
        </w:rPr>
      </w:pPr>
      <w:r>
        <w:rPr>
          <w:rFonts w:ascii="Times New Roman;Times;serif" w:hAnsi="Times New Roman;Times;serif"/>
          <w:b/>
          <w:color w:val="000000"/>
          <w:sz w:val="24"/>
        </w:rPr>
        <w:t>Form 3 Joint Filer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40e5a534a4eb40d7a322e8409248ba46"/>
      <w:bookmarkStart w:id="7" w:name="z40e5a534a4eb40d7a322e8409248ba46"/>
      <w:bookmarkEnd w:id="7"/>
    </w:p>
    <w:tbl>
      <w:tblPr>
        <w:tblW w:w="10205" w:type="dxa"/>
        <w:jc w:val="left"/>
        <w:tblInd w:w="0" w:type="dxa"/>
        <w:tblLayout w:type="fixed"/>
        <w:tblCellMar>
          <w:top w:w="0" w:type="dxa"/>
          <w:left w:w="0" w:type="dxa"/>
          <w:bottom w:w="28" w:type="dxa"/>
          <w:right w:w="0" w:type="dxa"/>
        </w:tblCellMar>
      </w:tblPr>
      <w:tblGrid>
        <w:gridCol w:w="3350"/>
        <w:gridCol w:w="6855"/>
      </w:tblGrid>
      <w:tr>
        <w:trPr/>
        <w:tc>
          <w:tcPr>
            <w:tcW w:w="3350"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Name: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855"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Sapphire Direct Holdings RSC Ltd</w:t>
            </w:r>
          </w:p>
        </w:tc>
      </w:tr>
      <w:tr>
        <w:trPr/>
        <w:tc>
          <w:tcPr>
            <w:tcW w:w="3350"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Address:</w:t>
            </w:r>
          </w:p>
          <w:p>
            <w:pPr>
              <w:pStyle w:val="TableContents"/>
              <w:bidi w:val="0"/>
              <w:spacing w:before="0" w:after="0"/>
              <w:jc w:val="left"/>
              <w:rPr/>
            </w:pPr>
            <w:r>
              <w:rPr/>
              <w:t> </w:t>
            </w:r>
          </w:p>
          <w:p>
            <w:pPr>
              <w:pStyle w:val="TableContents"/>
              <w:bidi w:val="0"/>
              <w:spacing w:before="0" w:after="0"/>
              <w:jc w:val="left"/>
              <w:rPr/>
            </w:pPr>
            <w:r>
              <w:rPr/>
              <w:t> </w:t>
            </w:r>
          </w:p>
        </w:tc>
        <w:tc>
          <w:tcPr>
            <w:tcW w:w="6855"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Unit No. 1, Floor 12, Al Maryah Tower, Abu Dhabi Global Market Square, Al Maryah Island</w:t>
            </w:r>
          </w:p>
          <w:p>
            <w:pPr>
              <w:pStyle w:val="TableContents"/>
              <w:bidi w:val="0"/>
              <w:spacing w:before="0" w:after="0"/>
              <w:jc w:val="left"/>
              <w:rPr/>
            </w:pPr>
            <w:r>
              <w:rPr/>
              <w:t>Abu Dhabi, United Arab Emirates</w:t>
            </w:r>
          </w:p>
        </w:tc>
      </w:tr>
      <w:tr>
        <w:trPr/>
        <w:tc>
          <w:tcPr>
            <w:tcW w:w="3350"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ind w:left="0" w:right="630" w:hanging="0"/>
              <w:jc w:val="both"/>
              <w:rPr/>
            </w:pPr>
            <w:r>
              <w:rPr/>
              <w:t>Date of Event Requiring Statement:</w:t>
            </w:r>
          </w:p>
          <w:p>
            <w:pPr>
              <w:pStyle w:val="TableContents"/>
              <w:bidi w:val="0"/>
              <w:spacing w:before="0" w:after="0"/>
              <w:jc w:val="left"/>
              <w:rPr/>
            </w:pPr>
            <w:r>
              <w:rPr/>
              <w:t> </w:t>
            </w:r>
          </w:p>
          <w:p>
            <w:pPr>
              <w:pStyle w:val="TableContents"/>
              <w:bidi w:val="0"/>
              <w:spacing w:before="0" w:after="0"/>
              <w:jc w:val="left"/>
              <w:rPr/>
            </w:pPr>
            <w:r>
              <w:rPr/>
              <w:t> </w:t>
            </w:r>
          </w:p>
        </w:tc>
        <w:tc>
          <w:tcPr>
            <w:tcW w:w="6855"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ind w:left="540" w:right="630" w:hanging="540"/>
              <w:jc w:val="both"/>
              <w:rPr/>
            </w:pPr>
            <w:r>
              <w:rPr/>
              <w:t>06/30/2026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48ec80db46d94869b62192b10524ff0e"/>
      <w:bookmarkStart w:id="9" w:name="z48ec80db46d94869b62192b10524ff0e"/>
      <w:bookmarkEnd w:id="9"/>
    </w:p>
    <w:tbl>
      <w:tblPr>
        <w:tblW w:w="10205" w:type="dxa"/>
        <w:jc w:val="left"/>
        <w:tblInd w:w="0" w:type="dxa"/>
        <w:tblLayout w:type="fixed"/>
        <w:tblCellMar>
          <w:top w:w="0" w:type="dxa"/>
          <w:left w:w="0" w:type="dxa"/>
          <w:bottom w:w="28" w:type="dxa"/>
          <w:right w:w="0" w:type="dxa"/>
        </w:tblCellMar>
      </w:tblPr>
      <w:tblGrid>
        <w:gridCol w:w="3362"/>
        <w:gridCol w:w="6843"/>
      </w:tblGrid>
      <w:tr>
        <w:trPr/>
        <w:tc>
          <w:tcPr>
            <w:tcW w:w="3362"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Name: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843"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Lunate Legacy II LP</w:t>
            </w:r>
          </w:p>
        </w:tc>
      </w:tr>
      <w:tr>
        <w:trPr/>
        <w:tc>
          <w:tcPr>
            <w:tcW w:w="3362"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Address:</w:t>
            </w:r>
          </w:p>
          <w:p>
            <w:pPr>
              <w:pStyle w:val="TableContents"/>
              <w:bidi w:val="0"/>
              <w:spacing w:before="0" w:after="0"/>
              <w:jc w:val="left"/>
              <w:rPr/>
            </w:pPr>
            <w:r>
              <w:rPr/>
              <w:t> </w:t>
            </w:r>
          </w:p>
          <w:p>
            <w:pPr>
              <w:pStyle w:val="TableContents"/>
              <w:bidi w:val="0"/>
              <w:spacing w:before="0" w:after="0"/>
              <w:jc w:val="left"/>
              <w:rPr/>
            </w:pPr>
            <w:r>
              <w:rPr/>
              <w:t> </w:t>
            </w:r>
          </w:p>
        </w:tc>
        <w:tc>
          <w:tcPr>
            <w:tcW w:w="6843"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Unit No. 1, Floor 12, Al Maryah Tower, Abu Dhabi Global Market Square, Al Maryah Island</w:t>
            </w:r>
          </w:p>
          <w:p>
            <w:pPr>
              <w:pStyle w:val="TableContents"/>
              <w:bidi w:val="0"/>
              <w:spacing w:before="0" w:after="0"/>
              <w:jc w:val="left"/>
              <w:rPr/>
            </w:pPr>
            <w:r>
              <w:rPr/>
              <w:t>Abu Dhabi, United Arab Emirates</w:t>
            </w:r>
          </w:p>
        </w:tc>
      </w:tr>
      <w:tr>
        <w:trPr/>
        <w:tc>
          <w:tcPr>
            <w:tcW w:w="3362"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ind w:left="0" w:right="630" w:hanging="0"/>
              <w:jc w:val="both"/>
              <w:rPr/>
            </w:pPr>
            <w:r>
              <w:rPr/>
              <w:t>Date of Event Requiring Statement:</w:t>
            </w:r>
          </w:p>
          <w:p>
            <w:pPr>
              <w:pStyle w:val="TableContents"/>
              <w:bidi w:val="0"/>
              <w:spacing w:before="0" w:after="0"/>
              <w:jc w:val="left"/>
              <w:rPr/>
            </w:pPr>
            <w:r>
              <w:rPr/>
              <w:t> </w:t>
            </w:r>
          </w:p>
          <w:p>
            <w:pPr>
              <w:pStyle w:val="TableContents"/>
              <w:bidi w:val="0"/>
              <w:spacing w:before="0" w:after="0"/>
              <w:jc w:val="left"/>
              <w:rPr/>
            </w:pPr>
            <w:r>
              <w:rPr/>
              <w:t> </w:t>
            </w:r>
          </w:p>
        </w:tc>
        <w:tc>
          <w:tcPr>
            <w:tcW w:w="6843"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ind w:left="540" w:right="630" w:hanging="540"/>
              <w:jc w:val="both"/>
              <w:rPr/>
            </w:pPr>
            <w:r>
              <w:rPr/>
              <w:t>06/30/2026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2a714635f50644cba227d6bb42794f0c"/>
      <w:bookmarkStart w:id="11" w:name="z2a714635f50644cba227d6bb42794f0c"/>
      <w:bookmarkEnd w:id="11"/>
    </w:p>
    <w:tbl>
      <w:tblPr>
        <w:tblW w:w="10205" w:type="dxa"/>
        <w:jc w:val="left"/>
        <w:tblInd w:w="0" w:type="dxa"/>
        <w:tblLayout w:type="fixed"/>
        <w:tblCellMar>
          <w:top w:w="0" w:type="dxa"/>
          <w:left w:w="0" w:type="dxa"/>
          <w:bottom w:w="28" w:type="dxa"/>
          <w:right w:w="0" w:type="dxa"/>
        </w:tblCellMar>
      </w:tblPr>
      <w:tblGrid>
        <w:gridCol w:w="3362"/>
        <w:gridCol w:w="6843"/>
      </w:tblGrid>
      <w:tr>
        <w:trPr/>
        <w:tc>
          <w:tcPr>
            <w:tcW w:w="3362"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Name: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843"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Lunate Legacy II (GP) SPV Ltd</w:t>
            </w:r>
          </w:p>
        </w:tc>
      </w:tr>
      <w:tr>
        <w:trPr/>
        <w:tc>
          <w:tcPr>
            <w:tcW w:w="3362"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Address:</w:t>
            </w:r>
          </w:p>
          <w:p>
            <w:pPr>
              <w:pStyle w:val="TableContents"/>
              <w:bidi w:val="0"/>
              <w:spacing w:before="0" w:after="0"/>
              <w:jc w:val="left"/>
              <w:rPr/>
            </w:pPr>
            <w:r>
              <w:rPr/>
              <w:t> </w:t>
            </w:r>
          </w:p>
          <w:p>
            <w:pPr>
              <w:pStyle w:val="TableContents"/>
              <w:bidi w:val="0"/>
              <w:spacing w:before="0" w:after="0"/>
              <w:jc w:val="left"/>
              <w:rPr/>
            </w:pPr>
            <w:r>
              <w:rPr/>
              <w:t> </w:t>
            </w:r>
          </w:p>
        </w:tc>
        <w:tc>
          <w:tcPr>
            <w:tcW w:w="6843"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Unit No. 1, Floor 12, Al Maryah Tower, Abu Dhabi Global Market Square, Al Maryah Island</w:t>
            </w:r>
          </w:p>
          <w:p>
            <w:pPr>
              <w:pStyle w:val="TableContents"/>
              <w:bidi w:val="0"/>
              <w:spacing w:before="0" w:after="0"/>
              <w:jc w:val="left"/>
              <w:rPr/>
            </w:pPr>
            <w:r>
              <w:rPr/>
              <w:t>Abu Dhabi, United Arab Emirates</w:t>
            </w:r>
          </w:p>
        </w:tc>
      </w:tr>
      <w:tr>
        <w:trPr/>
        <w:tc>
          <w:tcPr>
            <w:tcW w:w="3362"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ind w:left="0" w:right="630" w:hanging="0"/>
              <w:jc w:val="both"/>
              <w:rPr/>
            </w:pPr>
            <w:r>
              <w:rPr/>
              <w:t>Date of Event Requiring Statement:</w:t>
            </w:r>
          </w:p>
          <w:p>
            <w:pPr>
              <w:pStyle w:val="TableContents"/>
              <w:bidi w:val="0"/>
              <w:spacing w:before="0" w:after="0"/>
              <w:jc w:val="left"/>
              <w:rPr/>
            </w:pPr>
            <w:r>
              <w:rPr/>
              <w:t> </w:t>
            </w:r>
          </w:p>
          <w:p>
            <w:pPr>
              <w:pStyle w:val="TableContents"/>
              <w:bidi w:val="0"/>
              <w:spacing w:before="0" w:after="0"/>
              <w:jc w:val="left"/>
              <w:rPr/>
            </w:pPr>
            <w:r>
              <w:rPr/>
              <w:t> </w:t>
            </w:r>
          </w:p>
        </w:tc>
        <w:tc>
          <w:tcPr>
            <w:tcW w:w="6843"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ind w:left="540" w:right="630" w:hanging="540"/>
              <w:jc w:val="both"/>
              <w:rPr/>
            </w:pPr>
            <w:r>
              <w:rPr/>
              <w:t>06/30/2026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16ffbdfca2284b008b1cc2ff33b25916"/>
      <w:bookmarkStart w:id="13" w:name="z16ffbdfca2284b008b1cc2ff33b25916"/>
      <w:bookmarkEnd w:id="13"/>
    </w:p>
    <w:tbl>
      <w:tblPr>
        <w:tblW w:w="10205" w:type="dxa"/>
        <w:jc w:val="left"/>
        <w:tblInd w:w="0" w:type="dxa"/>
        <w:tblLayout w:type="fixed"/>
        <w:tblCellMar>
          <w:top w:w="0" w:type="dxa"/>
          <w:left w:w="0" w:type="dxa"/>
          <w:bottom w:w="28" w:type="dxa"/>
          <w:right w:w="0" w:type="dxa"/>
        </w:tblCellMar>
      </w:tblPr>
      <w:tblGrid>
        <w:gridCol w:w="3357"/>
        <w:gridCol w:w="6848"/>
      </w:tblGrid>
      <w:tr>
        <w:trPr/>
        <w:tc>
          <w:tcPr>
            <w:tcW w:w="3357"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Name: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6848"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Lunate Holding RSC Ltd</w:t>
            </w:r>
          </w:p>
        </w:tc>
      </w:tr>
      <w:tr>
        <w:trPr/>
        <w:tc>
          <w:tcPr>
            <w:tcW w:w="3357"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Address:</w:t>
            </w:r>
          </w:p>
          <w:p>
            <w:pPr>
              <w:pStyle w:val="TableContents"/>
              <w:bidi w:val="0"/>
              <w:spacing w:before="0" w:after="0"/>
              <w:jc w:val="left"/>
              <w:rPr/>
            </w:pPr>
            <w:r>
              <w:rPr/>
              <w:t> </w:t>
            </w:r>
          </w:p>
          <w:p>
            <w:pPr>
              <w:pStyle w:val="TableContents"/>
              <w:bidi w:val="0"/>
              <w:spacing w:before="0" w:after="0"/>
              <w:jc w:val="left"/>
              <w:rPr/>
            </w:pPr>
            <w:r>
              <w:rPr/>
              <w:t> </w:t>
            </w:r>
          </w:p>
        </w:tc>
        <w:tc>
          <w:tcPr>
            <w:tcW w:w="6848"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Unit No. 1, Floor 12, Al Maryah Tower, Abu Dhabi Global Market Square, Al Maryah Island</w:t>
            </w:r>
          </w:p>
          <w:p>
            <w:pPr>
              <w:pStyle w:val="TableContents"/>
              <w:bidi w:val="0"/>
              <w:spacing w:before="0" w:after="0"/>
              <w:jc w:val="left"/>
              <w:rPr/>
            </w:pPr>
            <w:r>
              <w:rPr/>
              <w:t>Abu Dhabi, United Arab Emirates</w:t>
            </w:r>
          </w:p>
        </w:tc>
      </w:tr>
      <w:tr>
        <w:trPr/>
        <w:tc>
          <w:tcPr>
            <w:tcW w:w="3357"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ind w:left="0" w:right="630" w:hanging="0"/>
              <w:jc w:val="both"/>
              <w:rPr/>
            </w:pPr>
            <w:r>
              <w:rPr/>
              <w:t>Date of Event Requiring Statement:</w:t>
            </w:r>
          </w:p>
          <w:p>
            <w:pPr>
              <w:pStyle w:val="TableContents"/>
              <w:bidi w:val="0"/>
              <w:spacing w:before="0" w:after="0"/>
              <w:jc w:val="left"/>
              <w:rPr/>
            </w:pPr>
            <w:r>
              <w:rPr/>
              <w:t> </w:t>
            </w:r>
          </w:p>
          <w:p>
            <w:pPr>
              <w:pStyle w:val="TableContents"/>
              <w:bidi w:val="0"/>
              <w:spacing w:before="0" w:after="0"/>
              <w:jc w:val="left"/>
              <w:rPr/>
            </w:pPr>
            <w:r>
              <w:rPr/>
              <w:t> </w:t>
            </w:r>
          </w:p>
        </w:tc>
        <w:tc>
          <w:tcPr>
            <w:tcW w:w="6848"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ind w:left="540" w:right="630" w:hanging="540"/>
              <w:jc w:val="both"/>
              <w:rPr/>
            </w:pPr>
            <w:r>
              <w:rPr/>
              <w:t>06/30/2026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a0121908612a492a8b34ac20f50fa9fb"/>
      <w:bookmarkStart w:id="15" w:name="za0121908612a492a8b34ac20f50fa9fb"/>
      <w:bookmarkEnd w:id="15"/>
    </w:p>
    <w:tbl>
      <w:tblPr>
        <w:tblW w:w="10205" w:type="dxa"/>
        <w:jc w:val="left"/>
        <w:tblInd w:w="0" w:type="dxa"/>
        <w:tblLayout w:type="fixed"/>
        <w:tblCellMar>
          <w:top w:w="0" w:type="dxa"/>
          <w:left w:w="0" w:type="dxa"/>
          <w:bottom w:w="28" w:type="dxa"/>
          <w:right w:w="0" w:type="dxa"/>
        </w:tblCellMar>
      </w:tblPr>
      <w:tblGrid>
        <w:gridCol w:w="2931"/>
        <w:gridCol w:w="7274"/>
      </w:tblGrid>
      <w:tr>
        <w:trPr/>
        <w:tc>
          <w:tcPr>
            <w:tcW w:w="2931"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Name: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c>
          <w:tcPr>
            <w:tcW w:w="7274"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Chimera Investment LLC</w:t>
            </w:r>
          </w:p>
        </w:tc>
      </w:tr>
      <w:tr>
        <w:trPr/>
        <w:tc>
          <w:tcPr>
            <w:tcW w:w="2931"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ind w:left="0" w:right="630" w:hanging="0"/>
              <w:jc w:val="both"/>
              <w:rPr/>
            </w:pPr>
            <w:r>
              <w:rPr/>
              <w:t>Address:</w:t>
            </w:r>
          </w:p>
          <w:p>
            <w:pPr>
              <w:pStyle w:val="TableContents"/>
              <w:bidi w:val="0"/>
              <w:spacing w:before="0" w:after="0"/>
              <w:jc w:val="left"/>
              <w:rPr/>
            </w:pPr>
            <w:r>
              <w:rPr/>
              <w:t> </w:t>
            </w:r>
          </w:p>
          <w:p>
            <w:pPr>
              <w:pStyle w:val="TableContents"/>
              <w:bidi w:val="0"/>
              <w:spacing w:before="0" w:after="0"/>
              <w:jc w:val="left"/>
              <w:rPr/>
            </w:pPr>
            <w:r>
              <w:rPr/>
              <w:t> </w:t>
            </w:r>
          </w:p>
        </w:tc>
        <w:tc>
          <w:tcPr>
            <w:tcW w:w="7274"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RG Procurement Restricted Limited, Building, East 0.48, Al Muntazah, Abu Dhabi Island, Abu Dhabi, United Arab Emirates</w:t>
            </w:r>
          </w:p>
        </w:tc>
      </w:tr>
      <w:tr>
        <w:trPr/>
        <w:tc>
          <w:tcPr>
            <w:tcW w:w="2931"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ind w:left="0" w:right="630" w:hanging="0"/>
              <w:jc w:val="both"/>
              <w:rPr/>
            </w:pPr>
            <w:r>
              <w:rPr/>
              <w:t>Date of Event Requiring Statement:</w:t>
            </w:r>
          </w:p>
          <w:p>
            <w:pPr>
              <w:pStyle w:val="TableContents"/>
              <w:bidi w:val="0"/>
              <w:spacing w:before="0" w:after="0"/>
              <w:jc w:val="left"/>
              <w:rPr/>
            </w:pPr>
            <w:r>
              <w:rPr/>
              <w:t> </w:t>
            </w:r>
          </w:p>
          <w:p>
            <w:pPr>
              <w:pStyle w:val="TableContents"/>
              <w:bidi w:val="0"/>
              <w:spacing w:before="0" w:after="0"/>
              <w:jc w:val="left"/>
              <w:rPr/>
            </w:pPr>
            <w:r>
              <w:rPr/>
              <w:t> </w:t>
            </w:r>
          </w:p>
        </w:tc>
        <w:tc>
          <w:tcPr>
            <w:tcW w:w="7274" w:type="dxa"/>
            <w:tcBorders>
              <w:bottom w:val="single" w:sz="12" w:space="0" w:color="000000"/>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ind w:left="540" w:right="630" w:hanging="540"/>
              <w:jc w:val="both"/>
              <w:rPr/>
            </w:pPr>
            <w:r>
              <w:rPr/>
              <w:t>06/30/2026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56786" TargetMode="External"/><Relationship Id="rId3" Type="http://schemas.openxmlformats.org/officeDocument/2006/relationships/hyperlink" Target="http://www.sec.gov/cgi-bin/browse-edgar?action=getcompany&amp;CIK=000169996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056786" TargetMode="External"/><Relationship Id="rId7" Type="http://schemas.openxmlformats.org/officeDocument/2006/relationships/hyperlink" Target="http://www.sec.gov/cgi-bin/browse-edgar?action=getcompany&amp;CIK=0002140192" TargetMode="External"/><Relationship Id="rId8" Type="http://schemas.openxmlformats.org/officeDocument/2006/relationships/hyperlink" Target="http://www.sec.gov/cgi-bin/browse-edgar?action=getcompany&amp;CIK=0002138761" TargetMode="External"/><Relationship Id="rId9" Type="http://schemas.openxmlformats.org/officeDocument/2006/relationships/hyperlink" Target="http://www.sec.gov/cgi-bin/browse-edgar?action=getcompany&amp;CIK=0002138760" TargetMode="External"/><Relationship Id="rId10" Type="http://schemas.openxmlformats.org/officeDocument/2006/relationships/hyperlink" Target="http://www.sec.gov/cgi-bin/browse-edgar?action=getcompany&amp;CIK=0002009522" TargetMode="External"/><Relationship Id="rId11" Type="http://schemas.openxmlformats.org/officeDocument/2006/relationships/hyperlink" Target="http://www.sec.gov/cgi-bin/browse-edgar?action=getcompany&amp;CIK=000200988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984</Words>
  <Characters>5301</Characters>
  <CharactersWithSpaces>6218</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