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U.S. Securities and Exchange Commission on July 1, 2026</w:t>
      </w: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Registration No. 333-297181</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POST-EFFECTIVE AMENDMENT NO. 1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TO</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12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Neutron Holdings, Inc. </w:t>
      </w:r>
    </w:p>
    <w:p>
      <w:pPr>
        <w:pStyle w:val="TextBody"/>
        <w:bidi w:val="0"/>
        <w:spacing w:lineRule="auto" w:line="288" w:before="0" w:after="8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tbl>
      <w:tblPr>
        <w:tblW w:w="3868" w:type="dxa"/>
        <w:jc w:val="left"/>
        <w:tblInd w:w="0" w:type="dxa"/>
        <w:tblLayout w:type="fixed"/>
        <w:tblCellMar>
          <w:top w:w="28" w:type="dxa"/>
          <w:left w:w="28" w:type="dxa"/>
          <w:bottom w:w="28" w:type="dxa"/>
          <w:right w:w="28" w:type="dxa"/>
        </w:tblCellMar>
      </w:tblPr>
      <w:tblGrid>
        <w:gridCol w:w="863"/>
        <w:gridCol w:w="756"/>
        <w:gridCol w:w="765"/>
        <w:gridCol w:w="433"/>
        <w:gridCol w:w="433"/>
        <w:gridCol w:w="618"/>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81-4870517</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444 Townsend Street, First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Francisco, California 94107</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(415) 449-4139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Neutron Holdings, Inc. 2017 Stock Incentive Plan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Neutron Holdings, Inc. 2026 Incentive Award Plan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Neutron Holdings, Inc. 2026 Employee Stock Purchase Plan</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 xml:space="preserve">(Full title of the plan)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Wayne Ting</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Neutron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444 Townsend Street, First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Francisco, California 94107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(415) 449-4139 </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 xml:space="preserve">(Name, address and telephone number, including area code, of agent for service) </w:t>
      </w:r>
    </w:p>
    <w:p>
      <w:pPr>
        <w:pStyle w:val="TextBody"/>
        <w:bidi w:val="0"/>
        <w:spacing w:lineRule="auto" w:line="288" w:before="0" w:after="80"/>
        <w:jc w:val="center"/>
        <w:rPr>
          <w:rFonts w:ascii="Times New Roman;serif" w:hAnsi="Times New Roman;serif"/>
          <w:b/>
          <w:i/>
          <w:color w:val="000000"/>
          <w:sz w:val="20"/>
        </w:rPr>
      </w:pPr>
      <w:r>
        <w:rPr>
          <w:rFonts w:ascii="Times New Roman;serif" w:hAnsi="Times New Roman;serif"/>
          <w:b/>
          <w:i/>
          <w:color w:val="000000"/>
          <w:sz w:val="20"/>
        </w:rPr>
        <w:t xml:space="preserve">Copies to: </w:t>
      </w:r>
    </w:p>
    <w:tbl>
      <w:tblPr>
        <w:tblW w:w="5591" w:type="dxa"/>
        <w:jc w:val="left"/>
        <w:tblInd w:w="0" w:type="dxa"/>
        <w:tblLayout w:type="fixed"/>
        <w:tblCellMar>
          <w:top w:w="28" w:type="dxa"/>
          <w:left w:w="28" w:type="dxa"/>
          <w:bottom w:w="28" w:type="dxa"/>
          <w:right w:w="28" w:type="dxa"/>
        </w:tblCellMar>
      </w:tblPr>
      <w:tblGrid>
        <w:gridCol w:w="955"/>
        <w:gridCol w:w="839"/>
        <w:gridCol w:w="845"/>
        <w:gridCol w:w="109"/>
        <w:gridCol w:w="109"/>
        <w:gridCol w:w="109"/>
        <w:gridCol w:w="767"/>
        <w:gridCol w:w="767"/>
        <w:gridCol w:w="1091"/>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Susie Giordano</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Luke Rachlin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Daniel Yao</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 Mitchell Hughes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Neutron Holdings, Inc.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444 Townsend Street, First Floor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Francisco, California 94107</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(415) 449-4139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32" w:before="54" w:after="30"/>
              <w:jc w:val="center"/>
              <w:rPr>
                <w:rFonts w:ascii="Times New Roman;serif" w:hAnsi="Times New Roman;serif"/>
                <w:b/>
                <w:color w:val="000000"/>
                <w:sz w:val="18"/>
              </w:rPr>
            </w:pPr>
            <w:r>
              <w:rPr>
                <w:rFonts w:ascii="Times New Roman;serif" w:hAnsi="Times New Roman;serif"/>
                <w:b/>
                <w:color w:val="000000"/>
                <w:sz w:val="18"/>
              </w:rPr>
              <w:t>Tad J. Freese</w:t>
            </w:r>
          </w:p>
          <w:p>
            <w:pPr>
              <w:pStyle w:val="TableContents"/>
              <w:bidi w:val="0"/>
              <w:spacing w:lineRule="auto" w:line="232" w:before="0" w:after="30"/>
              <w:jc w:val="center"/>
              <w:rPr>
                <w:rFonts w:ascii="Times New Roman;serif" w:hAnsi="Times New Roman;serif"/>
                <w:b/>
                <w:color w:val="000000"/>
                <w:sz w:val="18"/>
              </w:rPr>
            </w:pPr>
            <w:r>
              <w:rPr>
                <w:rFonts w:ascii="Times New Roman;serif" w:hAnsi="Times New Roman;serif"/>
                <w:b/>
                <w:color w:val="000000"/>
                <w:sz w:val="18"/>
              </w:rPr>
              <w:t>Sarah B. Axtell</w:t>
            </w:r>
          </w:p>
          <w:p>
            <w:pPr>
              <w:pStyle w:val="TableContents"/>
              <w:bidi w:val="0"/>
              <w:spacing w:lineRule="auto" w:line="232" w:before="0" w:after="30"/>
              <w:jc w:val="center"/>
              <w:rPr>
                <w:rFonts w:ascii="Times New Roman;serif" w:hAnsi="Times New Roman;serif"/>
                <w:b/>
                <w:color w:val="231F20"/>
                <w:sz w:val="18"/>
              </w:rPr>
            </w:pPr>
            <w:r>
              <w:rPr>
                <w:rFonts w:ascii="Times New Roman;serif" w:hAnsi="Times New Roman;serif"/>
                <w:b/>
                <w:color w:val="231F20"/>
                <w:sz w:val="18"/>
              </w:rPr>
              <w:t>Latham &amp; Watkins LLP</w:t>
            </w:r>
          </w:p>
          <w:p>
            <w:pPr>
              <w:pStyle w:val="TableContents"/>
              <w:bidi w:val="0"/>
              <w:spacing w:lineRule="auto" w:line="232" w:before="0" w:after="30"/>
              <w:jc w:val="center"/>
              <w:rPr>
                <w:rFonts w:ascii="Times New Roman;serif" w:hAnsi="Times New Roman;serif"/>
                <w:b/>
                <w:color w:val="231F20"/>
                <w:sz w:val="18"/>
              </w:rPr>
            </w:pPr>
            <w:r>
              <w:rPr>
                <w:rFonts w:ascii="Times New Roman;serif" w:hAnsi="Times New Roman;serif"/>
                <w:b/>
                <w:color w:val="231F20"/>
                <w:sz w:val="18"/>
              </w:rPr>
              <w:t>801 Jefferson Avenue, Suite 300</w:t>
            </w:r>
          </w:p>
          <w:p>
            <w:pPr>
              <w:pStyle w:val="TableContents"/>
              <w:bidi w:val="0"/>
              <w:spacing w:lineRule="auto" w:line="232" w:before="0" w:after="30"/>
              <w:jc w:val="center"/>
              <w:rPr>
                <w:rFonts w:ascii="Times New Roman;serif" w:hAnsi="Times New Roman;serif"/>
                <w:b/>
                <w:color w:val="231F20"/>
                <w:sz w:val="18"/>
              </w:rPr>
            </w:pPr>
            <w:r>
              <w:rPr>
                <w:rFonts w:ascii="Times New Roman;serif" w:hAnsi="Times New Roman;serif"/>
                <w:b/>
                <w:color w:val="231F20"/>
                <w:sz w:val="18"/>
              </w:rPr>
              <w:t>Redwood City, California 94063</w:t>
            </w:r>
          </w:p>
          <w:p>
            <w:pPr>
              <w:pStyle w:val="TableContents"/>
              <w:bidi w:val="0"/>
              <w:spacing w:lineRule="auto" w:line="288" w:before="0" w:after="0"/>
              <w:jc w:val="center"/>
              <w:rPr/>
            </w:pPr>
            <w:r>
              <w:rPr>
                <w:rFonts w:ascii="Times New Roman;serif" w:hAnsi="Times New Roman;serif"/>
                <w:b/>
                <w:color w:val="231F20"/>
                <w:sz w:val="18"/>
              </w:rPr>
              <w:t>(650) 328-460</w:t>
            </w:r>
            <w:r>
              <w:rPr>
                <w:rFonts w:ascii="Times New Roman;serif" w:hAnsi="Times New Roman;serif"/>
                <w:b/>
                <w:color w:val="000000"/>
                <w:sz w:val="18"/>
              </w:rPr>
              <w:t>0</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DEREGISTRATION OF SECURITIES</w:t>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Post-Effective Amendment No. 1 to Registration Statement on Form S-8 (this “Registration Statement”) is being filed by Neutron Holdings, Inc. (the “Registrant”) for the sole purpose of (i) correcting a clerical error in the number of shares of common stock, par value $0.0001 per share, of the Registrant (“common stock”) registered under the Neutron Holdings, Inc. 2026 Incentive Award Plan (the “2026 Plan”) and the Neutron Holdings, Inc. 2026 Employee Stock Purchase Plan (the “ESPP”) on Registration Statement on Form S-8 (File No. 333-297181) that was filed by the Registrant on July 1, 2026 (the “Original Registration Statement”) by reducing the number of aggregate shares registered for each of the 2026 Plan and the ESPP, as described below, (ii) correcting a clerical error in Exhibit 5.1 to the Original Registration Statement and (iii) correcting clerical errors in the number of shares available for issuance under the 2026 Plan and the ESPP in Exhibit 99.2 and Exhibit 99.3, respectively, to the Original Registration Statement. The corrected Exhibits 5.1, 99.2 and 99.3 are filed herewith as Exhibit 5.1, Exhibit 99.2 and Exhibit 99.3, respectively. </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corrections outlined above, the Registrant hereby amends the fee table in the Original Registration Statement to reflect that (i) 6,500,032 shares of common stock are registered pursuant to the 2026 Plan, (ii) the maximum aggregate offering price for the 2026 Plan is $162,500,800.00, (iii) the amount of the registration fee for the 2026 Plan is $22,441.36, (iv) 650,004 shares of common stock are registered pursuant to the ESPP, (v) the maximum aggregate offering price for the ESPP is $13,812,585.00, (vi) the amount of the registration fee for the ESPP is $1,907.52, (vii) the total maximum aggregate offering price is $272,061,302.07, and (viii) the total amount of registration fee is $37,571.66. The registration fee was paid by the Registrant in full in connection with the filing of the Original Registration Statement. Other than as set forth above, there are no other changes being made to the Original Registration Statement.</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shall not affect the remaining shares of common stock registered pursuant to the Original Registration Statement, and the effectiveness of the Original Registration Statement as to the 6,500,032 shares of common stock issuable under the 2026 Plan and the 650,004 shares of common stock issuable under the ESPP shall continue unaffected by this Registration Statement.</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Original Registration Statement remains in effect in all other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CORRECTED CALCULATION OF REGISTRATION FEE</w:t>
      </w:r>
    </w:p>
    <w:tbl>
      <w:tblPr>
        <w:tblW w:w="10397" w:type="dxa"/>
        <w:jc w:val="center"/>
        <w:tblInd w:w="0" w:type="dxa"/>
        <w:tblLayout w:type="fixed"/>
        <w:tblCellMar>
          <w:top w:w="28" w:type="dxa"/>
          <w:left w:w="28" w:type="dxa"/>
          <w:bottom w:w="28" w:type="dxa"/>
          <w:right w:w="28" w:type="dxa"/>
        </w:tblCellMar>
      </w:tblPr>
      <w:tblGrid>
        <w:gridCol w:w="261"/>
        <w:gridCol w:w="229"/>
        <w:gridCol w:w="231"/>
        <w:gridCol w:w="109"/>
        <w:gridCol w:w="109"/>
        <w:gridCol w:w="109"/>
        <w:gridCol w:w="359"/>
        <w:gridCol w:w="359"/>
        <w:gridCol w:w="363"/>
        <w:gridCol w:w="109"/>
        <w:gridCol w:w="109"/>
        <w:gridCol w:w="109"/>
        <w:gridCol w:w="270"/>
        <w:gridCol w:w="270"/>
        <w:gridCol w:w="271"/>
        <w:gridCol w:w="109"/>
        <w:gridCol w:w="109"/>
        <w:gridCol w:w="109"/>
        <w:gridCol w:w="309"/>
        <w:gridCol w:w="309"/>
        <w:gridCol w:w="313"/>
        <w:gridCol w:w="109"/>
        <w:gridCol w:w="109"/>
        <w:gridCol w:w="109"/>
        <w:gridCol w:w="294"/>
        <w:gridCol w:w="294"/>
        <w:gridCol w:w="298"/>
        <w:gridCol w:w="109"/>
        <w:gridCol w:w="109"/>
        <w:gridCol w:w="109"/>
        <w:gridCol w:w="498"/>
        <w:gridCol w:w="498"/>
        <w:gridCol w:w="505"/>
        <w:gridCol w:w="109"/>
        <w:gridCol w:w="109"/>
        <w:gridCol w:w="109"/>
        <w:gridCol w:w="364"/>
        <w:gridCol w:w="364"/>
        <w:gridCol w:w="368"/>
        <w:gridCol w:w="109"/>
        <w:gridCol w:w="109"/>
        <w:gridCol w:w="109"/>
        <w:gridCol w:w="315"/>
        <w:gridCol w:w="315"/>
        <w:gridCol w:w="451"/>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408"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6"/>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6"/>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Security </w:t>
              <w:br/>
              <w:t>Type</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Class</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Title</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Fee</w:t>
              <w:br/>
              <w:t>Calculation</w:t>
              <w:br/>
              <w:t>Rule</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br/>
              <w:t>Registered(5)</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Proposed</w:t>
              <w:br/>
              <w:t>Maximum</w:t>
              <w:br/>
              <w:t>Offering</w:t>
              <w:br/>
              <w:t>Price Per</w:t>
              <w:br/>
              <w:t>Unit</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Maximum</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Aggregate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Offering</w:t>
            </w:r>
          </w:p>
          <w:p>
            <w:pPr>
              <w:pStyle w:val="TableContents"/>
              <w:bidi w:val="0"/>
              <w:spacing w:lineRule="auto" w:line="288" w:before="0" w:after="20"/>
              <w:jc w:val="center"/>
              <w:rPr>
                <w:rFonts w:ascii="Times New Roman;serif" w:hAnsi="Times New Roman;serif"/>
                <w:b/>
                <w:color w:val="000000"/>
                <w:sz w:val="14"/>
              </w:rPr>
            </w:pPr>
            <w:r>
              <w:rPr>
                <w:rFonts w:ascii="Times New Roman;serif" w:hAnsi="Times New Roman;serif"/>
                <w:b/>
                <w:color w:val="000000"/>
                <w:sz w:val="14"/>
              </w:rPr>
              <w:t>Price(5)</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Fee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Rate</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of</w:t>
              <w:br/>
              <w:t>Registration</w:t>
              <w:br/>
              <w:t>Fee(5)</w:t>
            </w:r>
          </w:p>
        </w:tc>
      </w:tr>
      <w:tr>
        <w:trPr/>
        <w:tc>
          <w:tcPr>
            <w:tcW w:w="721" w:type="dxa"/>
            <w:gridSpan w:val="3"/>
            <w:tcBorders>
              <w:top w:val="single" w:sz="8" w:space="0" w:color="000000"/>
              <w:left w:val="single" w:sz="6" w:space="0" w:color="000000"/>
            </w:tcBorders>
            <w:shd w:fill="CCEEFF"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Equity</w:t>
            </w:r>
            <w:r>
              <w:rPr>
                <w:rFonts w:ascii="Times New Roman;serif" w:hAnsi="Times New Roman;serif"/>
                <w:b w:val="false"/>
                <w:color w:val="000000"/>
                <w:sz w:val="13"/>
              </w:rPr>
              <w:t>(1)(a), (b), (c)</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issuable upon the exercise of outstanding stock options under the Registrant’s 2017 Stock Incentive Plan (as amended, the “2017 Plan”)</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3,128,881</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$18.5692</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$58,100,817.07</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0.00013810</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right w:val="single" w:sz="6"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$8,023.72</w:t>
            </w:r>
          </w:p>
        </w:tc>
      </w:tr>
      <w:tr>
        <w:trPr/>
        <w:tc>
          <w:tcPr>
            <w:tcW w:w="721" w:type="dxa"/>
            <w:gridSpan w:val="3"/>
            <w:tcBorders>
              <w:top w:val="single" w:sz="8"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Equity</w:t>
            </w:r>
            <w:r>
              <w:rPr>
                <w:rFonts w:ascii="Times New Roman;serif" w:hAnsi="Times New Roman;serif"/>
                <w:b w:val="false"/>
                <w:color w:val="000000"/>
                <w:sz w:val="13"/>
              </w:rPr>
              <w:t>(2)(a), (b)</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issuable upon vesting and settlement of outstanding restricted stock units under the 2017 Plan</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1,505,884</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$37,647,100.00</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0.00013810</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right w:val="single" w:sz="6"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$5,199.06</w:t>
            </w:r>
          </w:p>
        </w:tc>
      </w:tr>
      <w:tr>
        <w:trPr/>
        <w:tc>
          <w:tcPr>
            <w:tcW w:w="721" w:type="dxa"/>
            <w:gridSpan w:val="3"/>
            <w:tcBorders>
              <w:top w:val="single" w:sz="8" w:space="0" w:color="000000"/>
              <w:left w:val="single" w:sz="6" w:space="0" w:color="000000"/>
            </w:tcBorders>
            <w:shd w:fill="CCEEFF" w:val="clear"/>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Equity </w:t>
            </w:r>
            <w:r>
              <w:rPr>
                <w:rFonts w:ascii="Times New Roman;serif" w:hAnsi="Times New Roman;serif"/>
                <w:b w:val="false"/>
                <w:color w:val="000000"/>
                <w:sz w:val="13"/>
              </w:rPr>
              <w:t>(3)(a), (b)</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reserved for issuance pursuant to awards under the Registrant’s 2026 Incentive Award Plan</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6,500,032</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$162,500,800.00</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0.00013810</w:t>
            </w:r>
          </w:p>
        </w:tc>
        <w:tc>
          <w:tcPr>
            <w:tcW w:w="327" w:type="dxa"/>
            <w:gridSpan w:val="3"/>
            <w:tcBorders>
              <w:top w:val="single" w:sz="8" w:space="0" w:color="000000"/>
              <w:left w:val="single" w:sz="6"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right w:val="single" w:sz="6"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$22,441.36</w:t>
            </w:r>
          </w:p>
        </w:tc>
      </w:tr>
      <w:tr>
        <w:trPr/>
        <w:tc>
          <w:tcPr>
            <w:tcW w:w="721" w:type="dxa"/>
            <w:gridSpan w:val="3"/>
            <w:tcBorders>
              <w:top w:val="single" w:sz="8" w:space="0" w:color="000000"/>
              <w:left w:val="single" w:sz="6"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Equity </w:t>
            </w:r>
            <w:r>
              <w:rPr>
                <w:rFonts w:ascii="Times New Roman;serif" w:hAnsi="Times New Roman;serif"/>
                <w:b w:val="false"/>
                <w:color w:val="000000"/>
                <w:sz w:val="13"/>
              </w:rPr>
              <w:t>(4)(a), (b)</w:t>
            </w:r>
          </w:p>
        </w:tc>
        <w:tc>
          <w:tcPr>
            <w:tcW w:w="327" w:type="dxa"/>
            <w:gridSpan w:val="3"/>
            <w:tcBorders>
              <w:top w:val="single" w:sz="8" w:space="0" w:color="000000"/>
              <w:left w:val="single" w:sz="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reserved for issuance pursuant to the Registrant’s 2026 Employee Stock Purchase Plan</w:t>
            </w:r>
          </w:p>
        </w:tc>
        <w:tc>
          <w:tcPr>
            <w:tcW w:w="327" w:type="dxa"/>
            <w:gridSpan w:val="3"/>
            <w:tcBorders>
              <w:top w:val="single" w:sz="8" w:space="0" w:color="000000"/>
              <w:left w:val="single" w:sz="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left w:val="single" w:sz="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650,004</w:t>
            </w:r>
          </w:p>
        </w:tc>
        <w:tc>
          <w:tcPr>
            <w:tcW w:w="327" w:type="dxa"/>
            <w:gridSpan w:val="3"/>
            <w:tcBorders>
              <w:top w:val="single" w:sz="8" w:space="0" w:color="000000"/>
              <w:left w:val="single" w:sz="6"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$21.25</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$13,812,585.00</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0.00013810</w:t>
            </w:r>
          </w:p>
        </w:tc>
        <w:tc>
          <w:tcPr>
            <w:tcW w:w="327" w:type="dxa"/>
            <w:gridSpan w:val="3"/>
            <w:tcBorders>
              <w:top w:val="single" w:sz="8"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right w:val="single" w:sz="6"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$1,907.52</w:t>
            </w:r>
          </w:p>
        </w:tc>
      </w:tr>
      <w:tr>
        <w:trPr/>
        <w:tc>
          <w:tcPr>
            <w:tcW w:w="5738" w:type="dxa"/>
            <w:gridSpan w:val="27"/>
            <w:tcBorders>
              <w:left w:val="single" w:sz="6" w:space="0" w:color="000000"/>
              <w:bottom w:val="single" w:sz="6"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Offering Amounts</w:t>
            </w:r>
          </w:p>
        </w:tc>
        <w:tc>
          <w:tcPr>
            <w:tcW w:w="327" w:type="dxa"/>
            <w:gridSpan w:val="3"/>
            <w:tcBorders>
              <w:top w:val="single" w:sz="8" w:space="0" w:color="000000"/>
              <w:left w:val="single" w:sz="6" w:space="0" w:color="000000"/>
              <w:bottom w:val="single" w:sz="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$272,061,302.07</w:t>
            </w:r>
          </w:p>
        </w:tc>
        <w:tc>
          <w:tcPr>
            <w:tcW w:w="327" w:type="dxa"/>
            <w:gridSpan w:val="3"/>
            <w:tcBorders>
              <w:top w:val="single" w:sz="8" w:space="0" w:color="000000"/>
              <w:left w:val="single" w:sz="6" w:space="0" w:color="000000"/>
              <w:bottom w:val="single" w:sz="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6" w:space="0" w:color="000000"/>
              <w:bottom w:val="single" w:sz="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6" w:space="0" w:color="000000"/>
              <w:right w:val="single" w:sz="6" w:space="0" w:color="000000"/>
            </w:tcBorders>
            <w:shd w:fill="CCEEFF"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$37,571.66</w:t>
            </w:r>
          </w:p>
        </w:tc>
      </w:tr>
      <w:tr>
        <w:trPr/>
        <w:tc>
          <w:tcPr>
            <w:tcW w:w="5738" w:type="dxa"/>
            <w:gridSpan w:val="27"/>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6"/>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6"/>
            <w:tcBorders>
              <w:left w:val="single" w:sz="6" w:space="0" w:color="000000"/>
              <w:right w:val="single" w:sz="6"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738" w:type="dxa"/>
            <w:gridSpan w:val="27"/>
            <w:tcBorders>
              <w:left w:val="single" w:sz="6"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Fee Offsets</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5738" w:type="dxa"/>
            <w:gridSpan w:val="27"/>
            <w:tcBorders>
              <w:left w:val="single" w:sz="6" w:space="0" w:color="000000"/>
              <w:bottom w:val="single" w:sz="6"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Fee Due</w:t>
            </w:r>
          </w:p>
        </w:tc>
        <w:tc>
          <w:tcPr>
            <w:tcW w:w="327" w:type="dxa"/>
            <w:gridSpan w:val="3"/>
            <w:tcBorders>
              <w:left w:val="single" w:sz="6" w:space="0" w:color="000000"/>
              <w:bottom w:val="single" w:sz="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bottom w:val="single" w:sz="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6" w:space="0" w:color="000000"/>
              <w:right w:val="single" w:sz="6" w:space="0" w:color="000000"/>
            </w:tcBorders>
            <w:shd w:fill="CCEEFF" w:val="clear"/>
            <w:tcMar>
              <w:top w:w="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$37,571.66</w:t>
            </w:r>
          </w:p>
        </w:tc>
      </w:tr>
    </w:tbl>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Pursuant to Rule 416(a) under the Securities Act of 1933, as amended (the “Securities Act”), this Registration Statement shall also cover any additional shares of common stock of the Registrant that become issuable under the above-named plans, by reason of any stock dividend, stock split, recapitalization, or other similar transaction effected that results in an increase to the number of outstanding shares of 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 Represents shares of common stock issuable upon the exercise of outstanding stock options under the 2017 Plan as of the date of the Original Registrant Statement (as defined below).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 Estimated solely for the purpose of calculating the registration fee in accordance with Rule 457(h) under the Securities Act. The proposed maximum offering price per share and the proposed maximum aggregate offering price are based on $18.5692 per share, which is the weighted-average exercise price of the outstanding stock options under the 2017 Plan as of the date of the Original Registrant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(2)See note 1(a).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Represents shares of common stock issuable upon the vesting and settlement of outstanding restricted stock unit awards under the 2017 Plan as of the date of the Original Registrant Statement.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 Pursuant to Rule 457(h) of the Securities Act, and solely for the purposes of calculating the amount of the registration fee, the proposed maximum offering price is based on the initial public offering price of the common stock of $25.00 per share, as set forth in the Registrant’s Registration Statement on Form S-1 (File No. 333-295679), as amended (the “S-1 Registration Statement”), that was declared effective on June 30, 2026.</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(3)See note 1(a). </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(a) Represents shares of common stock reserved for issuance under the 2026 Plan as of the date of this Registrant Statement. The number of shares reserved for issuance under the 2026 Plan will be increased annually on the first day of each calendar year beginning January 1, 2027 and ending on and including January 1, 2036, in an amount equal to the lesser of (i) 5% of the aggregate number of shares of common stock outstanding on the final day of the immediately preceding calendar year (calculated on an as-converted basis) and (ii) such smaller number of shares as is determined by the Registrant’s board of directors. In addition, any shares of common stock that are subject to awards under the 2017 Plan that (i) expire, lapse, or are terminated, exchanged for or settled in cash, surrendered, repurchased, canceled without having been fully exercised, or forfeited, in any case, in a manner that results in the Registrant acquiring shares covered by the award at a price not greater than the price (as adjusted to reflect any equity restructuring) paid by the participant for such shares or not issuing any shares covered by the award or (ii) shares delivered (either by actual delivery or attestation) to the Registrant by a participant to satisfy the applicable exercise or purchase price of an award and/or to satisfy any applicable tax withholding obligation with respect to an award (including shares retained by the Registrant from the award being exercised or purchased and/or creating the tax obligation), will be available for issuance as common stock under the 2026 Plan.</w:t>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(b) Estimated solely for the purpose of calculating the registration fee in accordance with Rule 457(h) under the Securities Act. The proposed maximum offering price per share and the proposed maximum aggregate offering price are based on the initial public offering price of the common stock of $25.00 per share, as set forth in the S-1 Registration Statement that was declared effective on June 30, 2026.</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(4)See note 1(a).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Represents shares of common stock reserved for issuance under the ESPP as of the date of this Registrant Statement. The number of shares of common stock available for issuance under the ESPP will be annually increased beginning on and including January 1, 2027 and ending on and including January 1, 2036, equal to the lesser of (i) 1% of the aggregate number of shares of common stock (on an as converted basis) outstanding on the final day of the immediately preceding calendar year and (ii) such smaller number of shares of common stock as determined by the Registrant’s board of directors.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 Estimated solely for the purpose of calculating the registration fee in accordance with Rule 457(h) under the Securities Act. The proposed maximum offering price per share and the proposed maximum aggregate offering price are based on the initial public offering price of the common stock of $25.00 per share, as set forth in the S-1 Registration Statement that was declared effective on June 30, 2026, multiplied by 85%, which reflects the discount to the purchase price applicable to purchases under the ESPP.</w:t>
      </w:r>
    </w:p>
    <w:p>
      <w:pPr>
        <w:pStyle w:val="TextBody"/>
        <w:bidi w:val="0"/>
        <w:spacing w:before="0" w:after="0"/>
        <w:jc w:val="left"/>
        <w:rPr/>
      </w:pPr>
      <w:r>
        <w:rPr/>
      </w:r>
    </w:p>
    <w:p>
      <w:pPr>
        <w:pStyle w:val="TextBody"/>
        <w:bidi w:val="0"/>
        <w:spacing w:lineRule="auto" w:line="276"/>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(5) Pursuant to this Registration Statement and as further set forth in the Explanatory Note to this Registration Statement, this Registration Statement is amending and restating the Calculation of Filing Fee Table set forth in the Original Registration Statement solely to correct the clerical errors in the number of shares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being registered under each of the 2026 Plan and the ESPP and the maximum aggregate offering price and the amount of registration fee for each of the 2026 Plan and the ESPP, which numbers had previously been included in error. The registration fee was previously paid in full in connection with the filing of the Original Registration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36"/>
        <w:gridCol w:w="1671"/>
        <w:gridCol w:w="1610"/>
        <w:gridCol w:w="109"/>
        <w:gridCol w:w="109"/>
        <w:gridCol w:w="109"/>
        <w:gridCol w:w="175"/>
        <w:gridCol w:w="175"/>
        <w:gridCol w:w="177"/>
        <w:gridCol w:w="109"/>
        <w:gridCol w:w="109"/>
        <w:gridCol w:w="109"/>
        <w:gridCol w:w="281"/>
        <w:gridCol w:w="281"/>
        <w:gridCol w:w="285"/>
        <w:gridCol w:w="117"/>
        <w:gridCol w:w="117"/>
        <w:gridCol w:w="117"/>
        <w:gridCol w:w="210"/>
        <w:gridCol w:w="210"/>
        <w:gridCol w:w="211"/>
        <w:gridCol w:w="117"/>
        <w:gridCol w:w="117"/>
        <w:gridCol w:w="117"/>
        <w:gridCol w:w="230"/>
        <w:gridCol w:w="230"/>
        <w:gridCol w:w="33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File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of the Registrant, as amended, as currently in effect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Form of Amended and Restated Certificate of Incorporation of the Registrant, to be in effect immediately prior to the completion of the Registrant’s initial public offering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Amended and Restated Bylaws of the Registrant, to be in effect immediately prior to the completion of the Registrant’s initial public offering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8pos.htm">
              <w:r>
                <w:rPr>
                  <w:rStyle w:val="InternetLink"/>
                  <w:rFonts w:ascii="Times New Roman;serif" w:hAnsi="Times New Roman;serif"/>
                  <w:b w:val="false"/>
                  <w:color w:val="0000FF"/>
                  <w:sz w:val="20"/>
                  <w:u w:val="single"/>
                </w:rPr>
                <w:t>Opinion of Latham &amp; Watkins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8pos.htm">
              <w:r>
                <w:rPr>
                  <w:rStyle w:val="InternetLink"/>
                  <w:rFonts w:ascii="Times New Roman;serif" w:hAnsi="Times New Roman;serif"/>
                  <w:b w:val="false"/>
                  <w:color w:val="0000FF"/>
                  <w:sz w:val="20"/>
                  <w:u w:val="single"/>
                </w:rPr>
                <w:t>Consent of Latham &amp; Watkins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333-297181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"https://www.sec.gov/Archives/edgar/data/1699963/000162828026046333/neutrons-8.htm" \l "i33be104f4f364803a34151f941b27bc4_31"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 (included on the signature page to the Registration Statement)</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333-297181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Neutron Holdings, Inc. 2017 Stock Incentive Plan, as amended,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sx8pos.htm">
              <w:r>
                <w:rPr>
                  <w:rStyle w:val="InternetLink"/>
                  <w:rFonts w:ascii="Times New Roman;serif" w:hAnsi="Times New Roman;serif"/>
                  <w:b w:val="false"/>
                  <w:color w:val="0000FF"/>
                  <w:sz w:val="20"/>
                  <w:u w:val="single"/>
                </w:rPr>
                <w:t>Neutron Holdings, Inc. 2026 Incentive Award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sx8pos.htm">
              <w:r>
                <w:rPr>
                  <w:rStyle w:val="InternetLink"/>
                  <w:rFonts w:ascii="Times New Roman;serif" w:hAnsi="Times New Roman;serif"/>
                  <w:b w:val="false"/>
                  <w:color w:val="0000FF"/>
                  <w:sz w:val="20"/>
                  <w:u w:val="single"/>
                </w:rPr>
                <w:t>Neutron Holdings, Inc. 2026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333-297181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bl>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33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333"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Post-Effective Amendment No. 1 to Registration Statement on Form S-8 to be signed on its behalf by the undersigned, thereunto duly authorized, in the City of San Francisco, State of California, on this 1st day of July, 2026. </w:t>
      </w:r>
    </w:p>
    <w:tbl>
      <w:tblPr>
        <w:tblW w:w="4148" w:type="dxa"/>
        <w:jc w:val="left"/>
        <w:tblInd w:w="0" w:type="dxa"/>
        <w:tblLayout w:type="fixed"/>
        <w:tblCellMar>
          <w:top w:w="28" w:type="dxa"/>
          <w:left w:w="28" w:type="dxa"/>
          <w:bottom w:w="28" w:type="dxa"/>
          <w:right w:w="28" w:type="dxa"/>
        </w:tblCellMar>
      </w:tblPr>
      <w:tblGrid>
        <w:gridCol w:w="124"/>
        <w:gridCol w:w="109"/>
        <w:gridCol w:w="109"/>
        <w:gridCol w:w="282"/>
        <w:gridCol w:w="282"/>
        <w:gridCol w:w="282"/>
        <w:gridCol w:w="282"/>
        <w:gridCol w:w="282"/>
        <w:gridCol w:w="282"/>
        <w:gridCol w:w="609"/>
        <w:gridCol w:w="609"/>
        <w:gridCol w:w="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NEUTRON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Wayne 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Wayne 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tbl>
      <w:tblPr>
        <w:tblW w:w="6606" w:type="dxa"/>
        <w:jc w:val="left"/>
        <w:tblInd w:w="0" w:type="dxa"/>
        <w:tblLayout w:type="fixed"/>
        <w:tblCellMar>
          <w:top w:w="28" w:type="dxa"/>
          <w:left w:w="28" w:type="dxa"/>
          <w:bottom w:w="28" w:type="dxa"/>
          <w:right w:w="28" w:type="dxa"/>
        </w:tblCellMar>
      </w:tblPr>
      <w:tblGrid>
        <w:gridCol w:w="623"/>
        <w:gridCol w:w="549"/>
        <w:gridCol w:w="552"/>
        <w:gridCol w:w="109"/>
        <w:gridCol w:w="109"/>
        <w:gridCol w:w="109"/>
        <w:gridCol w:w="1020"/>
        <w:gridCol w:w="1020"/>
        <w:gridCol w:w="1034"/>
        <w:gridCol w:w="109"/>
        <w:gridCol w:w="109"/>
        <w:gridCol w:w="109"/>
        <w:gridCol w:w="337"/>
        <w:gridCol w:w="337"/>
        <w:gridCol w:w="480"/>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Date</w:t>
            </w:r>
          </w:p>
        </w:tc>
      </w:tr>
      <w:tr>
        <w:trPr/>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/s/ Wayne 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Chief Executive Officer and Director</w:t>
            </w:r>
          </w:p>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Wayne 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/s/ Ann Gugino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Chief Financial Officer</w:t>
            </w:r>
          </w:p>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Ann Gugino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/s/ Michael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Chief Accounting Officer</w:t>
            </w:r>
          </w:p>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Michael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Zhoujia Brad Bao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Andrew Macdonald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Brandon Pedersen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 xml:space="preserve">James Rowan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20" w:before="0" w:after="0"/>
              <w:jc w:val="center"/>
              <w:rPr>
                <w:rFonts w:ascii="Times New Roman;serif" w:hAnsi="Times New Roman;serif"/>
                <w:b w:val="false"/>
                <w:color w:val="231F20"/>
                <w:sz w:val="20"/>
              </w:rPr>
            </w:pPr>
            <w:r>
              <w:rPr>
                <w:rFonts w:ascii="Times New Roman;serif" w:hAnsi="Times New Roman;serif"/>
                <w:b w:val="false"/>
                <w:color w:val="231F20"/>
                <w:sz w:val="20"/>
              </w:rPr>
              <w:t>Sarah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tbl>
      <w:tblPr>
        <w:tblW w:w="2220" w:type="dxa"/>
        <w:jc w:val="left"/>
        <w:tblInd w:w="0" w:type="dxa"/>
        <w:tblLayout w:type="fixed"/>
        <w:tblCellMar>
          <w:top w:w="28" w:type="dxa"/>
          <w:left w:w="28" w:type="dxa"/>
          <w:bottom w:w="28" w:type="dxa"/>
          <w:right w:w="28" w:type="dxa"/>
        </w:tblCellMar>
      </w:tblPr>
      <w:tblGrid>
        <w:gridCol w:w="189"/>
        <w:gridCol w:w="167"/>
        <w:gridCol w:w="169"/>
        <w:gridCol w:w="496"/>
        <w:gridCol w:w="496"/>
        <w:gridCol w:w="703"/>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Susie Giordano</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Susie Giordano</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221" w:type="dxa"/>
        <w:jc w:val="left"/>
        <w:tblInd w:w="0" w:type="dxa"/>
        <w:tblLayout w:type="fixed"/>
        <w:tblCellMar>
          <w:top w:w="28" w:type="dxa"/>
          <w:left w:w="28" w:type="dxa"/>
          <w:bottom w:w="28" w:type="dxa"/>
          <w:right w:w="28" w:type="dxa"/>
        </w:tblCellMar>
      </w:tblPr>
      <w:tblGrid>
        <w:gridCol w:w="674"/>
        <w:gridCol w:w="593"/>
        <w:gridCol w:w="593"/>
        <w:gridCol w:w="593"/>
        <w:gridCol w:w="593"/>
        <w:gridCol w:w="595"/>
        <w:gridCol w:w="109"/>
        <w:gridCol w:w="109"/>
        <w:gridCol w:w="109"/>
        <w:gridCol w:w="341"/>
        <w:gridCol w:w="341"/>
        <w:gridCol w:w="341"/>
        <w:gridCol w:w="360"/>
        <w:gridCol w:w="360"/>
        <w:gridCol w:w="510"/>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6"/>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801 Jefferson Avenue, Suite 300</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 xml:space="preserve">Redwood City, California 94063 </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Tel: +1.650.328.4600</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www.lw.com</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47900" cy="1428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10"/>
                          <a:stretch>
                            <a:fillRect/>
                          </a:stretch>
                        </pic:blipFill>
                        <pic:spPr bwMode="auto">
                          <a:xfrm>
                            <a:off x="0" y="0"/>
                            <a:ext cx="2247900" cy="1428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FIRM / AFFILIATE OFFICES</w:t>
            </w:r>
          </w:p>
        </w:tc>
      </w:tr>
      <w:tr>
        <w:trPr/>
        <w:tc>
          <w:tcPr>
            <w:tcW w:w="364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Austin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Beijing</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Boston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Brussels</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Chicago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Dubai</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Düsseldorf</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Frankfurt</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Hamburg</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Hong Kong</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Houston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London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Los Angeles</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Madrid</w:t>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Milan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Munich</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New York</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Orange County</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Paris</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Riyadh</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San Diego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San Francisco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Seoul</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Silicon Valley</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Singapore</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Tel Aviv</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Tokyo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Washington, D.C.</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3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1,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Neutron Holdings, Inc.</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444 Townsend Street, First Floor</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San Francisco, California 94107</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162"/>
        <w:gridCol w:w="143"/>
        <w:gridCol w:w="145"/>
        <w:gridCol w:w="1036"/>
        <w:gridCol w:w="1036"/>
        <w:gridCol w:w="1467"/>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S-8</w:t>
            </w:r>
          </w:p>
        </w:tc>
      </w:tr>
    </w:tbl>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0" w:after="240"/>
        <w:ind w:left="0" w:right="0" w:firstLine="720"/>
        <w:jc w:val="left"/>
        <w:rPr/>
      </w:pPr>
      <w:r>
        <w:rPr>
          <w:rFonts w:ascii="Times New Roman;serif" w:hAnsi="Times New Roman;serif"/>
          <w:b w:val="false"/>
          <w:color w:val="000000"/>
          <w:sz w:val="24"/>
        </w:rPr>
        <w:t>We have acted as special counsel to Neutron Holdings,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preparation and filing by the Company on the date hereof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of a Registration Statement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on Form S-8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relating to the issuance of up to 11,784,801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of common stock, $0.0001 par value per share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which may be issued pursuant to the Company’s 2017 Stock Incentive Plan (the “</w:t>
      </w:r>
      <w:r>
        <w:rPr>
          <w:rFonts w:ascii="Times New Roman;serif" w:hAnsi="Times New Roman;serif"/>
          <w:b/>
          <w:i/>
          <w:color w:val="000000"/>
          <w:sz w:val="24"/>
        </w:rPr>
        <w:t>2017 Plan</w:t>
      </w:r>
      <w:r>
        <w:rPr>
          <w:color w:val="000000"/>
        </w:rPr>
        <w:t>”</w:t>
      </w:r>
      <w:r>
        <w:rPr>
          <w:rFonts w:ascii="Times New Roman;serif" w:hAnsi="Times New Roman;serif"/>
          <w:b w:val="false"/>
          <w:color w:val="000000"/>
          <w:sz w:val="24"/>
        </w:rPr>
        <w:t>), the Company’s 2026 Incentive Award Plan (the “</w:t>
      </w:r>
      <w:r>
        <w:rPr>
          <w:rFonts w:ascii="Times New Roman;serif" w:hAnsi="Times New Roman;serif"/>
          <w:b/>
          <w:i/>
          <w:color w:val="000000"/>
          <w:sz w:val="24"/>
        </w:rPr>
        <w:t>2026 Plan</w:t>
      </w:r>
      <w:r>
        <w:rPr>
          <w:color w:val="000000"/>
        </w:rPr>
        <w:t>”</w:t>
      </w:r>
      <w:r>
        <w:rPr>
          <w:rFonts w:ascii="Times New Roman;serif" w:hAnsi="Times New Roman;serif"/>
          <w:b w:val="false"/>
          <w:color w:val="000000"/>
          <w:sz w:val="24"/>
        </w:rPr>
        <w:t>) and the Company’s 2026 Employee Stock Purchase Plan (the “</w:t>
      </w:r>
      <w:r>
        <w:rPr>
          <w:rFonts w:ascii="Times New Roman;serif" w:hAnsi="Times New Roman;serif"/>
          <w:b/>
          <w:i/>
          <w:color w:val="000000"/>
          <w:sz w:val="24"/>
        </w:rPr>
        <w:t>ESPP</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and we express no opinion with respect to any other laws.</w:t>
      </w:r>
    </w:p>
    <w:p>
      <w:pPr>
        <w:pStyle w:val="TextBody"/>
        <w:bidi w:val="0"/>
        <w:spacing w:lineRule="atLeast" w:line="160" w:before="0" w:after="0"/>
        <w:jc w:val="left"/>
        <w:rPr>
          <w:rFonts w:ascii="Arial;sans-serif" w:hAnsi="Arial;sans-serif"/>
          <w:b/>
          <w:color w:val="000000"/>
          <w:sz w:val="14"/>
        </w:rPr>
      </w:pPr>
      <w:r>
        <w:rPr>
          <w:rFonts w:ascii="Arial;sans-serif" w:hAnsi="Arial;sans-serif"/>
          <w:b/>
          <w:color w:val="000000"/>
          <w:sz w:val="14"/>
        </w:rPr>
        <w:t>July 1, 2026</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9560"/>
                <wp:effectExtent l="0" t="0" r="0" b="0"/>
                <wp:wrapNone/>
                <wp:docPr id="10" name="Frame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p>
      <w:pPr>
        <w:pStyle w:val="TextBody"/>
        <w:bidi w:val="0"/>
        <w:spacing w:lineRule="atLeast" w:line="160" w:before="0" w:after="240"/>
        <w:jc w:val="left"/>
        <w:rPr>
          <w:rFonts w:ascii="Arial;sans-serif" w:hAnsi="Arial;sans-serif"/>
          <w:b/>
          <w:color w:val="000000"/>
          <w:sz w:val="14"/>
        </w:rPr>
      </w:pPr>
      <w:r>
        <w:rPr>
          <w:rFonts w:ascii="Arial;sans-serif" w:hAnsi="Arial;sans-serif"/>
          <w:b/>
          <w:color w:val="000000"/>
          <w:sz w:val="14"/>
        </w:rPr>
        <w:t>Page 2</w:t>
      </w:r>
    </w:p>
    <w:p>
      <w:pPr>
        <w:pStyle w:val="TextBody"/>
        <w:bidi w:val="0"/>
        <w:spacing w:before="0" w:after="0"/>
        <w:jc w:val="left"/>
        <w:rPr/>
      </w:pPr>
      <w:r>
        <w:rPr/>
        <w:drawing>
          <wp:inline distT="0" distB="0" distL="0" distR="0">
            <wp:extent cx="1552575" cy="1428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1"/>
                    <a:stretch>
                      <a:fillRect/>
                    </a:stretch>
                  </pic:blipFill>
                  <pic:spPr bwMode="auto">
                    <a:xfrm>
                      <a:off x="0" y="0"/>
                      <a:ext cx="1552575" cy="142875"/>
                    </a:xfrm>
                    <a:prstGeom prst="rect">
                      <a:avLst/>
                    </a:prstGeom>
                  </pic:spPr>
                </pic:pic>
              </a:graphicData>
            </a:graphic>
          </wp:inline>
        </w:drawing>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of not less than par value in the circumstances contemplated by the 2017 Plan, the 2026 Plan and the ESPP, as applicable, assuming in each case that the individual issuances, grants or awards under the 2017 Plan, the 2026 Plan and the ESPP, as applicable, are duly authorized by all necessary corporate action and duly issued, granted or awarded and exercised in accordance with the requirements of law and the 2017 Plan, the 2026 Plan and the ESPP, as applicable (and the agreements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Sincerely,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NEUTRON HOLDINGS, INC.</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2026 INCENTIVE AWARD PLAN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 xml:space="preserve">PURPOSE </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 xml:space="preserve">The Plan’s purpose is to enhance the Company’s ability to attract, retain and motivate persons who make (or are expected to make) important contributions to the Company by providing these individuals with equity ownership opportunities. </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II.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 xml:space="preserve">DEFINITIONS </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As used in the Plan, the following words and phrases have the meanings specified below, unless the context clearly indicates otherwise:</w:t>
      </w:r>
    </w:p>
    <w:p>
      <w:pPr>
        <w:pStyle w:val="TextBody"/>
        <w:bidi w:val="0"/>
        <w:spacing w:lineRule="auto" w:line="288" w:before="0" w:after="240"/>
        <w:ind w:left="0" w:right="0" w:firstLine="720"/>
        <w:jc w:val="both"/>
        <w:rPr/>
      </w:pPr>
      <w:r>
        <w:rPr>
          <w:rFonts w:ascii="sans-serif" w:hAnsi="sans-serif"/>
          <w:b w:val="false"/>
          <w:color w:val="000000"/>
          <w:sz w:val="22"/>
        </w:rPr>
        <w:t>2.1    “</w:t>
      </w:r>
      <w:r>
        <w:rPr>
          <w:rFonts w:ascii="sans-serif" w:hAnsi="sans-serif"/>
          <w:b/>
          <w:i/>
          <w:color w:val="000000"/>
          <w:sz w:val="22"/>
        </w:rPr>
        <w:t>Administrator</w:t>
      </w:r>
      <w:r>
        <w:rPr>
          <w:color w:val="000000"/>
        </w:rPr>
        <w:t xml:space="preserve">” </w:t>
      </w:r>
      <w:r>
        <w:rPr>
          <w:rFonts w:ascii="sans-serif" w:hAnsi="sans-serif"/>
          <w:b w:val="false"/>
          <w:color w:val="000000"/>
          <w:sz w:val="22"/>
        </w:rPr>
        <w:t>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pStyle w:val="TextBody"/>
        <w:bidi w:val="0"/>
        <w:spacing w:lineRule="auto" w:line="288" w:before="0" w:after="240"/>
        <w:ind w:left="0" w:right="0" w:firstLine="720"/>
        <w:jc w:val="both"/>
        <w:rPr/>
      </w:pPr>
      <w:r>
        <w:rPr>
          <w:rFonts w:ascii="sans-serif" w:hAnsi="sans-serif"/>
          <w:b w:val="false"/>
          <w:color w:val="000000"/>
          <w:sz w:val="22"/>
        </w:rPr>
        <w:t>2.2    “</w:t>
      </w:r>
      <w:r>
        <w:rPr>
          <w:rFonts w:ascii="sans-serif" w:hAnsi="sans-serif"/>
          <w:b/>
          <w:i/>
          <w:color w:val="000000"/>
          <w:sz w:val="22"/>
        </w:rPr>
        <w:t>Applicable Law</w:t>
      </w:r>
      <w:r>
        <w:rPr>
          <w:color w:val="000000"/>
        </w:rPr>
        <w:t xml:space="preserve">” </w:t>
      </w:r>
      <w:r>
        <w:rPr>
          <w:rFonts w:ascii="sans-serif" w:hAnsi="sans-serif"/>
          <w:b w:val="false"/>
          <w:color w:val="000000"/>
          <w:sz w:val="22"/>
        </w:rPr>
        <w:t>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lineRule="auto" w:line="288" w:before="0" w:after="240"/>
        <w:ind w:left="0" w:right="0" w:firstLine="720"/>
        <w:jc w:val="both"/>
        <w:rPr/>
      </w:pPr>
      <w:r>
        <w:rPr>
          <w:rFonts w:ascii="sans-serif" w:hAnsi="sans-serif"/>
          <w:b w:val="false"/>
          <w:color w:val="000000"/>
          <w:sz w:val="22"/>
        </w:rPr>
        <w:t>2.3    “</w:t>
      </w:r>
      <w:r>
        <w:rPr>
          <w:rFonts w:ascii="sans-serif" w:hAnsi="sans-serif"/>
          <w:b/>
          <w:i/>
          <w:color w:val="000000"/>
          <w:sz w:val="22"/>
        </w:rPr>
        <w:t>Award</w:t>
      </w:r>
      <w:r>
        <w:rPr>
          <w:color w:val="000000"/>
        </w:rPr>
        <w:t xml:space="preserve">” </w:t>
      </w:r>
      <w:r>
        <w:rPr>
          <w:rFonts w:ascii="sans-serif" w:hAnsi="sans-serif"/>
          <w:b w:val="false"/>
          <w:color w:val="000000"/>
          <w:sz w:val="22"/>
        </w:rPr>
        <w:t>means an Option award, Stock Appreciation Right award, Restricted Stock award, Restricted Stock Unit award, Performance Bonus Award, Performance Stock Unit award, Dividend Equivalents award or Other Stock or Cash Based Award granted to a Participant under the Plan.</w:t>
      </w:r>
    </w:p>
    <w:p>
      <w:pPr>
        <w:pStyle w:val="TextBody"/>
        <w:bidi w:val="0"/>
        <w:spacing w:lineRule="auto" w:line="288" w:before="0" w:after="240"/>
        <w:ind w:left="0" w:right="0" w:firstLine="720"/>
        <w:jc w:val="both"/>
        <w:rPr/>
      </w:pPr>
      <w:r>
        <w:rPr>
          <w:rFonts w:ascii="sans-serif" w:hAnsi="sans-serif"/>
          <w:b w:val="false"/>
          <w:color w:val="000000"/>
          <w:sz w:val="22"/>
        </w:rPr>
        <w:t>2.4    “</w:t>
      </w:r>
      <w:r>
        <w:rPr>
          <w:rFonts w:ascii="sans-serif" w:hAnsi="sans-serif"/>
          <w:b/>
          <w:i/>
          <w:color w:val="000000"/>
          <w:sz w:val="22"/>
        </w:rPr>
        <w:t>Award Agreement</w:t>
      </w:r>
      <w:r>
        <w:rPr>
          <w:color w:val="000000"/>
        </w:rPr>
        <w:t xml:space="preserve">” </w:t>
      </w:r>
      <w:r>
        <w:rPr>
          <w:rFonts w:ascii="sans-serif" w:hAnsi="sans-serif"/>
          <w:b w:val="false"/>
          <w:color w:val="000000"/>
          <w:sz w:val="22"/>
        </w:rPr>
        <w:t>means an agreement evidencing an Award, which may be written or electronic, that contains such terms and conditions as the Administrator determines, consistent with and subject to the terms and conditions of the Plan.</w:t>
      </w:r>
    </w:p>
    <w:p>
      <w:pPr>
        <w:pStyle w:val="TextBody"/>
        <w:bidi w:val="0"/>
        <w:spacing w:lineRule="auto" w:line="288" w:before="0" w:after="240"/>
        <w:ind w:left="0" w:right="0" w:firstLine="720"/>
        <w:jc w:val="both"/>
        <w:rPr/>
      </w:pPr>
      <w:r>
        <w:rPr>
          <w:rFonts w:ascii="sans-serif" w:hAnsi="sans-serif"/>
          <w:b w:val="false"/>
          <w:color w:val="000000"/>
          <w:sz w:val="22"/>
        </w:rPr>
        <w:t>2.5    “</w:t>
      </w:r>
      <w:r>
        <w:rPr>
          <w:rFonts w:ascii="sans-serif" w:hAnsi="sans-serif"/>
          <w:b/>
          <w:i/>
          <w:color w:val="000000"/>
          <w:sz w:val="22"/>
        </w:rPr>
        <w:t>Board</w:t>
      </w:r>
      <w:r>
        <w:rPr>
          <w:color w:val="000000"/>
        </w:rPr>
        <w:t xml:space="preserve">” </w:t>
      </w:r>
      <w:r>
        <w:rPr>
          <w:rFonts w:ascii="sans-serif" w:hAnsi="sans-serif"/>
          <w:b w:val="false"/>
          <w:color w:val="000000"/>
          <w:sz w:val="22"/>
        </w:rPr>
        <w:t>means the Board of Directors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2.6    </w:t>
      </w:r>
      <w:r>
        <w:rPr>
          <w:color w:val="000000"/>
        </w:rPr>
        <w:t>“</w:t>
      </w:r>
      <w:r>
        <w:rPr>
          <w:rFonts w:ascii="sans-serif" w:hAnsi="sans-serif"/>
          <w:b/>
          <w:i/>
          <w:color w:val="000000"/>
          <w:sz w:val="22"/>
        </w:rPr>
        <w:t>Cause</w:t>
      </w:r>
      <w:r>
        <w:rPr>
          <w:color w:val="000000"/>
        </w:rPr>
        <w:t xml:space="preserve">” </w:t>
      </w:r>
      <w:r>
        <w:rPr>
          <w:rFonts w:ascii="sans-serif" w:hAnsi="sans-serif"/>
          <w:b w:val="false"/>
          <w:color w:val="000000"/>
          <w:sz w:val="22"/>
        </w:rPr>
        <w:t>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“Cause” means, with respect to a Participant, the occurrence of any of the following</w:t>
      </w:r>
      <w:r>
        <w:rPr>
          <w:rFonts w:ascii="sans-serif" w:hAnsi="sans-serif"/>
          <w:b/>
          <w:color w:val="000000"/>
          <w:sz w:val="22"/>
        </w:rPr>
        <w:t xml:space="preserve">: </w:t>
      </w:r>
      <w:r>
        <w:rPr>
          <w:rFonts w:ascii="sans-serif" w:hAnsi="sans-serif"/>
          <w:b w:val="false"/>
          <w:color w:val="000000"/>
          <w:sz w:val="22"/>
        </w:rPr>
        <w:t xml:space="preserve">(i) performance of any act or failure to perform any act in bad faith and to the detriment of the Company or any of its affiliates; (ii) dishonesty, intentional misconduct, or material breach of any agreement with the Company or any of its affiliates; or (iii) commission of a crime involving dishonesty, breach of trust, or physical or emotional harm to any person. The term “Company” will be interpreted to include any Subsidiary, Parent, affiliate, or any successor thereto, if appropriate.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The determination that a termination of a Participant’s employment is either for Cause or without Cause shall be made by the Administrator, in its sole discretion.</w:t>
      </w:r>
    </w:p>
    <w:p>
      <w:pPr>
        <w:pStyle w:val="TextBody"/>
        <w:bidi w:val="0"/>
        <w:spacing w:lineRule="auto" w:line="288" w:before="0" w:after="240"/>
        <w:ind w:left="0" w:right="0" w:firstLine="720"/>
        <w:jc w:val="both"/>
        <w:rPr/>
      </w:pPr>
      <w:r>
        <w:rPr>
          <w:rFonts w:ascii="sans-serif" w:hAnsi="sans-serif"/>
          <w:b w:val="false"/>
          <w:color w:val="000000"/>
          <w:sz w:val="22"/>
        </w:rPr>
        <w:t>2.7    “</w:t>
      </w:r>
      <w:r>
        <w:rPr>
          <w:rFonts w:ascii="sans-serif" w:hAnsi="sans-serif"/>
          <w:b/>
          <w:i/>
          <w:color w:val="000000"/>
          <w:sz w:val="22"/>
        </w:rPr>
        <w:t>Change in Control</w:t>
      </w:r>
      <w:r>
        <w:rPr>
          <w:color w:val="000000"/>
        </w:rPr>
        <w:t xml:space="preserve">” </w:t>
      </w:r>
      <w:r>
        <w:rPr>
          <w:rFonts w:ascii="sans-serif" w:hAnsi="sans-serif"/>
          <w:b w:val="false"/>
          <w:color w:val="000000"/>
          <w:sz w:val="22"/>
        </w:rPr>
        <w:t>means any of the following:</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(a)    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2.8(c)(i), 2.8(c)(ii) and 2.8(c)(iii); or (iv)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(b)    The Incumbent Directors cease for any reason to constitute a majority of the Board;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(c)    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lineRule="auto" w:line="288" w:before="0" w:after="240"/>
        <w:ind w:left="0" w:right="0" w:firstLine="2160"/>
        <w:jc w:val="both"/>
        <w:rPr/>
      </w:pPr>
      <w:r>
        <w:rPr>
          <w:rFonts w:ascii="sans-serif" w:hAnsi="sans-serif"/>
          <w:b w:val="false"/>
          <w:color w:val="000000"/>
          <w:sz w:val="22"/>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sans-serif" w:hAnsi="sans-serif"/>
          <w:b/>
          <w:i/>
          <w:color w:val="000000"/>
          <w:sz w:val="22"/>
        </w:rPr>
        <w:t>Successor Entity</w:t>
      </w:r>
      <w:r>
        <w:rPr>
          <w:color w:val="000000"/>
        </w:rPr>
        <w:t>”</w:t>
      </w:r>
      <w:r>
        <w:rPr>
          <w:rFonts w:ascii="sans-serif" w:hAnsi="sans-serif"/>
          <w:b w:val="false"/>
          <w:color w:val="000000"/>
          <w:sz w:val="22"/>
        </w:rPr>
        <w:t>)) directly or indirectly, at least a majority of the combined voting power of the Successor Entity’s outstanding voting securities immediately after the transaction; and</w:t>
      </w:r>
    </w:p>
    <w:p>
      <w:pPr>
        <w:pStyle w:val="TextBody"/>
        <w:bidi w:val="0"/>
        <w:spacing w:lineRule="auto" w:line="288" w:before="0" w:after="240"/>
        <w:ind w:left="0" w:right="0" w:firstLine="2160"/>
        <w:jc w:val="both"/>
        <w:rPr/>
      </w:pPr>
      <w:r>
        <w:rPr>
          <w:rFonts w:ascii="sans-serif" w:hAnsi="sans-serif"/>
          <w:b w:val="false"/>
          <w:color w:val="000000"/>
          <w:sz w:val="22"/>
        </w:rPr>
        <w:t>(ii)    after which no person or group beneficially owns voting securities representing 50% or more of the combined voting power of the Successor Entity; provided</w:t>
      </w:r>
      <w:r>
        <w:rPr>
          <w:rFonts w:ascii="sans-serif" w:hAnsi="sans-serif"/>
          <w:b w:val="false"/>
          <w:i/>
          <w:color w:val="000000"/>
          <w:sz w:val="22"/>
        </w:rPr>
        <w:t xml:space="preserve">, </w:t>
      </w:r>
      <w:r>
        <w:rPr>
          <w:rFonts w:ascii="sans-serif" w:hAnsi="sans-serif"/>
          <w:b w:val="false"/>
          <w:color w:val="000000"/>
          <w:sz w:val="22"/>
        </w:rPr>
        <w:t>however, that no person or group shall be treated for purposes of this Section 2.8(c)(ii) as beneficially owning 50% or more of the combined voting power of the Successor Entity solely as a result of the voting power held in the Company prior to the consummation of the transaction; or</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(d)    The completion of a liquidation or dissolution of the Company.</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2.8 with respect to such Award (or portion thereof) shall only constitute a Change in Control for purposes of the payment timing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560"/>
                <wp:effectExtent l="0" t="0" r="0" b="0"/>
                <wp:wrapNone/>
                <wp:docPr id="14"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of such Award if such transaction also constitutes a “change in control event,” as defined in Treasury Regulation Section 1.409A-3(i)(5).</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288" w:before="0" w:after="240"/>
        <w:ind w:left="0" w:right="0" w:firstLine="720"/>
        <w:jc w:val="both"/>
        <w:rPr/>
      </w:pPr>
      <w:r>
        <w:rPr>
          <w:rFonts w:ascii="sans-serif" w:hAnsi="sans-serif"/>
          <w:b w:val="false"/>
          <w:color w:val="000000"/>
          <w:sz w:val="22"/>
        </w:rPr>
        <w:t>2.8    “</w:t>
      </w:r>
      <w:r>
        <w:rPr>
          <w:rFonts w:ascii="sans-serif" w:hAnsi="sans-serif"/>
          <w:b/>
          <w:i/>
          <w:color w:val="000000"/>
          <w:sz w:val="22"/>
        </w:rPr>
        <w:t>Code</w:t>
      </w:r>
      <w:r>
        <w:rPr>
          <w:color w:val="000000"/>
        </w:rPr>
        <w:t xml:space="preserve">” </w:t>
      </w:r>
      <w:r>
        <w:rPr>
          <w:rFonts w:ascii="sans-serif" w:hAnsi="sans-serif"/>
          <w:b w:val="false"/>
          <w:color w:val="000000"/>
          <w:sz w:val="22"/>
        </w:rPr>
        <w:t>means the U.S. Internal Revenue Code of 1986, as amended, and all regulations, guidance, compliance programs and other interpretative authority issued thereunder.</w:t>
      </w:r>
    </w:p>
    <w:p>
      <w:pPr>
        <w:pStyle w:val="TextBody"/>
        <w:bidi w:val="0"/>
        <w:spacing w:lineRule="auto" w:line="288" w:before="0" w:after="240"/>
        <w:ind w:left="0" w:right="0" w:firstLine="720"/>
        <w:jc w:val="both"/>
        <w:rPr/>
      </w:pPr>
      <w:r>
        <w:rPr>
          <w:rFonts w:ascii="sans-serif" w:hAnsi="sans-serif"/>
          <w:b w:val="false"/>
          <w:color w:val="000000"/>
          <w:sz w:val="22"/>
        </w:rPr>
        <w:t>2.9    “</w:t>
      </w:r>
      <w:r>
        <w:rPr>
          <w:rFonts w:ascii="sans-serif" w:hAnsi="sans-serif"/>
          <w:b/>
          <w:i/>
          <w:color w:val="000000"/>
          <w:sz w:val="22"/>
        </w:rPr>
        <w:t>Committee</w:t>
      </w:r>
      <w:r>
        <w:rPr>
          <w:color w:val="000000"/>
        </w:rPr>
        <w:t xml:space="preserve">” </w:t>
      </w:r>
      <w:r>
        <w:rPr>
          <w:rFonts w:ascii="sans-serif" w:hAnsi="sans-serif"/>
          <w:b w:val="false"/>
          <w:color w:val="000000"/>
          <w:sz w:val="22"/>
        </w:rPr>
        <w:t xml:space="preserve">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w:t>
      </w:r>
    </w:p>
    <w:p>
      <w:pPr>
        <w:pStyle w:val="TextBody"/>
        <w:bidi w:val="0"/>
        <w:spacing w:lineRule="auto" w:line="288" w:before="0" w:after="240"/>
        <w:ind w:left="0" w:right="0" w:firstLine="720"/>
        <w:jc w:val="both"/>
        <w:rPr/>
      </w:pPr>
      <w:r>
        <w:rPr>
          <w:rFonts w:ascii="sans-serif" w:hAnsi="sans-serif"/>
          <w:b w:val="false"/>
          <w:color w:val="000000"/>
          <w:sz w:val="22"/>
        </w:rPr>
        <w:t>2.10    “</w:t>
      </w:r>
      <w:r>
        <w:rPr>
          <w:rFonts w:ascii="sans-serif" w:hAnsi="sans-serif"/>
          <w:b/>
          <w:i/>
          <w:color w:val="000000"/>
          <w:sz w:val="22"/>
        </w:rPr>
        <w:t>Common Stock</w:t>
      </w:r>
      <w:r>
        <w:rPr>
          <w:color w:val="000000"/>
        </w:rPr>
        <w:t xml:space="preserve">” </w:t>
      </w:r>
      <w:r>
        <w:rPr>
          <w:rFonts w:ascii="sans-serif" w:hAnsi="sans-serif"/>
          <w:b w:val="false"/>
          <w:color w:val="000000"/>
          <w:sz w:val="22"/>
        </w:rPr>
        <w:t>means the common stock of the Company.</w:t>
      </w:r>
    </w:p>
    <w:p>
      <w:pPr>
        <w:pStyle w:val="TextBody"/>
        <w:bidi w:val="0"/>
        <w:spacing w:lineRule="auto" w:line="288" w:before="0" w:after="240"/>
        <w:ind w:left="0" w:right="0" w:firstLine="720"/>
        <w:jc w:val="both"/>
        <w:rPr/>
      </w:pPr>
      <w:r>
        <w:rPr>
          <w:rFonts w:ascii="sans-serif" w:hAnsi="sans-serif"/>
          <w:b w:val="false"/>
          <w:color w:val="000000"/>
          <w:sz w:val="22"/>
        </w:rPr>
        <w:t>2.11    “</w:t>
      </w:r>
      <w:r>
        <w:rPr>
          <w:rFonts w:ascii="sans-serif" w:hAnsi="sans-serif"/>
          <w:b/>
          <w:i/>
          <w:color w:val="000000"/>
          <w:sz w:val="22"/>
        </w:rPr>
        <w:t>Company</w:t>
      </w:r>
      <w:r>
        <w:rPr>
          <w:color w:val="000000"/>
        </w:rPr>
        <w:t xml:space="preserve">” </w:t>
      </w:r>
      <w:r>
        <w:rPr>
          <w:rFonts w:ascii="sans-serif" w:hAnsi="sans-serif"/>
          <w:b w:val="false"/>
          <w:color w:val="000000"/>
          <w:sz w:val="22"/>
        </w:rPr>
        <w:t>means Neutron Holdings, Inc., a Delaware corporation, or any successor.</w:t>
      </w:r>
    </w:p>
    <w:p>
      <w:pPr>
        <w:pStyle w:val="TextBody"/>
        <w:bidi w:val="0"/>
        <w:spacing w:lineRule="auto" w:line="288" w:before="0" w:after="240"/>
        <w:ind w:left="0" w:right="0" w:firstLine="720"/>
        <w:jc w:val="both"/>
        <w:rPr/>
      </w:pPr>
      <w:r>
        <w:rPr>
          <w:rFonts w:ascii="sans-serif" w:hAnsi="sans-serif"/>
          <w:b w:val="false"/>
          <w:color w:val="000000"/>
          <w:sz w:val="22"/>
        </w:rPr>
        <w:t>2.12    “</w:t>
      </w:r>
      <w:r>
        <w:rPr>
          <w:rFonts w:ascii="sans-serif" w:hAnsi="sans-serif"/>
          <w:b/>
          <w:i/>
          <w:color w:val="000000"/>
          <w:sz w:val="22"/>
        </w:rPr>
        <w:t>Consultant</w:t>
      </w:r>
      <w:r>
        <w:rPr>
          <w:color w:val="000000"/>
        </w:rPr>
        <w:t xml:space="preserve">” </w:t>
      </w:r>
      <w:r>
        <w:rPr>
          <w:rFonts w:ascii="sans-serif" w:hAnsi="sans-serif"/>
          <w:b w:val="false"/>
          <w:color w:val="000000"/>
          <w:sz w:val="22"/>
        </w:rPr>
        <w:t>means any person, including any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qualifies as a consultant or advisor under Instruction A.1(a)(1) of Form S-8 under the Securities Act.</w:t>
      </w:r>
    </w:p>
    <w:p>
      <w:pPr>
        <w:pStyle w:val="TextBody"/>
        <w:bidi w:val="0"/>
        <w:spacing w:lineRule="auto" w:line="288" w:before="0" w:after="240"/>
        <w:ind w:left="0" w:right="0" w:firstLine="720"/>
        <w:jc w:val="both"/>
        <w:rPr/>
      </w:pPr>
      <w:r>
        <w:rPr>
          <w:rFonts w:ascii="sans-serif" w:hAnsi="sans-serif"/>
          <w:b w:val="false"/>
          <w:color w:val="000000"/>
          <w:sz w:val="22"/>
        </w:rPr>
        <w:t>2.13    “</w:t>
      </w:r>
      <w:r>
        <w:rPr>
          <w:rFonts w:ascii="sans-serif" w:hAnsi="sans-serif"/>
          <w:b/>
          <w:i/>
          <w:color w:val="000000"/>
          <w:sz w:val="22"/>
        </w:rPr>
        <w:t>Designated Beneficiary</w:t>
      </w:r>
      <w:r>
        <w:rPr>
          <w:color w:val="000000"/>
        </w:rPr>
        <w:t xml:space="preserve">” </w:t>
      </w:r>
      <w:r>
        <w:rPr>
          <w:rFonts w:ascii="sans-serif" w:hAnsi="sans-serif"/>
          <w:b w:val="false"/>
          <w:color w:val="000000"/>
          <w:sz w:val="22"/>
        </w:rPr>
        <w:t>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pStyle w:val="TextBody"/>
        <w:bidi w:val="0"/>
        <w:spacing w:lineRule="auto" w:line="288" w:before="0" w:after="240"/>
        <w:ind w:left="0" w:right="0" w:firstLine="720"/>
        <w:jc w:val="both"/>
        <w:rPr/>
      </w:pPr>
      <w:r>
        <w:rPr>
          <w:rFonts w:ascii="sans-serif" w:hAnsi="sans-serif"/>
          <w:b w:val="false"/>
          <w:color w:val="000000"/>
          <w:sz w:val="22"/>
        </w:rPr>
        <w:t>2.14    “</w:t>
      </w:r>
      <w:r>
        <w:rPr>
          <w:rFonts w:ascii="sans-serif" w:hAnsi="sans-serif"/>
          <w:b/>
          <w:i/>
          <w:color w:val="000000"/>
          <w:sz w:val="22"/>
        </w:rPr>
        <w:t>Director</w:t>
      </w:r>
      <w:r>
        <w:rPr>
          <w:color w:val="000000"/>
        </w:rPr>
        <w:t xml:space="preserve">” </w:t>
      </w:r>
      <w:r>
        <w:rPr>
          <w:rFonts w:ascii="sans-serif" w:hAnsi="sans-serif"/>
          <w:b w:val="false"/>
          <w:color w:val="000000"/>
          <w:sz w:val="22"/>
        </w:rPr>
        <w:t>means a Board member.</w:t>
      </w:r>
    </w:p>
    <w:p>
      <w:pPr>
        <w:pStyle w:val="TextBody"/>
        <w:bidi w:val="0"/>
        <w:spacing w:lineRule="auto" w:line="288" w:before="0" w:after="240"/>
        <w:ind w:left="0" w:right="0" w:firstLine="720"/>
        <w:jc w:val="both"/>
        <w:rPr/>
      </w:pPr>
      <w:r>
        <w:rPr>
          <w:rFonts w:ascii="sans-serif" w:hAnsi="sans-serif"/>
          <w:b w:val="false"/>
          <w:color w:val="000000"/>
          <w:sz w:val="22"/>
        </w:rPr>
        <w:t>2.15    “</w:t>
      </w:r>
      <w:r>
        <w:rPr>
          <w:rFonts w:ascii="sans-serif" w:hAnsi="sans-serif"/>
          <w:b/>
          <w:i/>
          <w:color w:val="000000"/>
          <w:sz w:val="22"/>
        </w:rPr>
        <w:t>Disability</w:t>
      </w:r>
      <w:r>
        <w:rPr>
          <w:color w:val="000000"/>
        </w:rPr>
        <w:t xml:space="preserve">” </w:t>
      </w:r>
      <w:r>
        <w:rPr>
          <w:rFonts w:ascii="sans-serif" w:hAnsi="sans-serif"/>
          <w:b w:val="false"/>
          <w:color w:val="000000"/>
          <w:sz w:val="22"/>
        </w:rPr>
        <w:t>means a permanent and total disability under Section 22(e)(3) of the Code.</w:t>
      </w:r>
    </w:p>
    <w:p>
      <w:pPr>
        <w:pStyle w:val="TextBody"/>
        <w:bidi w:val="0"/>
        <w:spacing w:lineRule="auto" w:line="288" w:before="0" w:after="240"/>
        <w:ind w:left="0" w:right="0" w:firstLine="720"/>
        <w:jc w:val="both"/>
        <w:rPr/>
      </w:pPr>
      <w:r>
        <w:rPr>
          <w:rFonts w:ascii="sans-serif" w:hAnsi="sans-serif"/>
          <w:b w:val="false"/>
          <w:color w:val="000000"/>
          <w:sz w:val="22"/>
        </w:rPr>
        <w:t>2.16    “</w:t>
      </w:r>
      <w:r>
        <w:rPr>
          <w:rFonts w:ascii="sans-serif" w:hAnsi="sans-serif"/>
          <w:b/>
          <w:i/>
          <w:color w:val="000000"/>
          <w:sz w:val="22"/>
        </w:rPr>
        <w:t>Dividend Equivalents</w:t>
      </w:r>
      <w:r>
        <w:rPr>
          <w:color w:val="000000"/>
        </w:rPr>
        <w:t xml:space="preserve">” </w:t>
      </w:r>
      <w:r>
        <w:rPr>
          <w:rFonts w:ascii="sans-serif" w:hAnsi="sans-serif"/>
          <w:b w:val="false"/>
          <w:color w:val="000000"/>
          <w:sz w:val="22"/>
        </w:rPr>
        <w:t>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pStyle w:val="TextBody"/>
        <w:bidi w:val="0"/>
        <w:spacing w:lineRule="auto" w:line="288" w:before="0" w:after="240"/>
        <w:ind w:left="0" w:right="0" w:firstLine="720"/>
        <w:jc w:val="both"/>
        <w:rPr/>
      </w:pPr>
      <w:r>
        <w:rPr>
          <w:rFonts w:ascii="sans-serif" w:hAnsi="sans-serif"/>
          <w:b w:val="false"/>
          <w:color w:val="000000"/>
          <w:sz w:val="22"/>
        </w:rPr>
        <w:t>2.17    “</w:t>
      </w:r>
      <w:r>
        <w:rPr>
          <w:rFonts w:ascii="sans-serif" w:hAnsi="sans-serif"/>
          <w:b/>
          <w:i/>
          <w:color w:val="000000"/>
          <w:sz w:val="22"/>
        </w:rPr>
        <w:t>DRO</w:t>
      </w:r>
      <w:r>
        <w:rPr>
          <w:color w:val="000000"/>
        </w:rPr>
        <w:t xml:space="preserve">” </w:t>
      </w:r>
      <w:r>
        <w:rPr>
          <w:rFonts w:ascii="sans-serif" w:hAnsi="sans-serif"/>
          <w:b w:val="false"/>
          <w:color w:val="000000"/>
          <w:sz w:val="22"/>
        </w:rPr>
        <w:t>means a “domestic relations order” as defined by the Code or Title I of the Employee Retirement Income Security Act of 1974, as amended, or the rules thereunder.</w:t>
      </w:r>
    </w:p>
    <w:p>
      <w:pPr>
        <w:pStyle w:val="TextBody"/>
        <w:bidi w:val="0"/>
        <w:spacing w:lineRule="auto" w:line="288" w:before="0" w:after="240"/>
        <w:ind w:left="0" w:right="0" w:firstLine="720"/>
        <w:jc w:val="both"/>
        <w:rPr/>
      </w:pPr>
      <w:r>
        <w:rPr>
          <w:rFonts w:ascii="sans-serif" w:hAnsi="sans-serif"/>
          <w:b w:val="false"/>
          <w:color w:val="000000"/>
          <w:sz w:val="22"/>
        </w:rPr>
        <w:t>2.18    “</w:t>
      </w:r>
      <w:r>
        <w:rPr>
          <w:rFonts w:ascii="sans-serif" w:hAnsi="sans-serif"/>
          <w:b/>
          <w:i/>
          <w:color w:val="000000"/>
          <w:sz w:val="22"/>
        </w:rPr>
        <w:t>Effective Date</w:t>
      </w:r>
      <w:r>
        <w:rPr>
          <w:color w:val="000000"/>
        </w:rPr>
        <w:t xml:space="preserve">” </w:t>
      </w:r>
      <w:r>
        <w:rPr>
          <w:rFonts w:ascii="sans-serif" w:hAnsi="sans-serif"/>
          <w:b w:val="false"/>
          <w:color w:val="000000"/>
          <w:sz w:val="22"/>
        </w:rPr>
        <w:t>has the meaning set forth in Section 11.3.</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2560"/>
                <wp:effectExtent l="0" t="0" r="0" b="0"/>
                <wp:wrapNone/>
                <wp:docPr id="15"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2.19    “</w:t>
      </w:r>
      <w:r>
        <w:rPr>
          <w:rFonts w:ascii="sans-serif" w:hAnsi="sans-serif"/>
          <w:b/>
          <w:i/>
          <w:color w:val="000000"/>
          <w:sz w:val="22"/>
        </w:rPr>
        <w:t>Employee</w:t>
      </w:r>
      <w:r>
        <w:rPr>
          <w:color w:val="000000"/>
        </w:rPr>
        <w:t xml:space="preserve">” </w:t>
      </w:r>
      <w:r>
        <w:rPr>
          <w:rFonts w:ascii="sans-serif" w:hAnsi="sans-serif"/>
          <w:b w:val="false"/>
          <w:color w:val="000000"/>
          <w:sz w:val="22"/>
        </w:rPr>
        <w:t>means any employee of the Company or any of its Subsidiaries.</w:t>
      </w:r>
    </w:p>
    <w:p>
      <w:pPr>
        <w:pStyle w:val="TextBody"/>
        <w:bidi w:val="0"/>
        <w:spacing w:lineRule="auto" w:line="288" w:before="0" w:after="240"/>
        <w:ind w:left="0" w:right="0" w:firstLine="720"/>
        <w:jc w:val="both"/>
        <w:rPr/>
      </w:pPr>
      <w:r>
        <w:rPr>
          <w:rFonts w:ascii="sans-serif" w:hAnsi="sans-serif"/>
          <w:b w:val="false"/>
          <w:color w:val="000000"/>
          <w:sz w:val="22"/>
        </w:rPr>
        <w:t>2.20    “</w:t>
      </w:r>
      <w:r>
        <w:rPr>
          <w:rFonts w:ascii="sans-serif" w:hAnsi="sans-serif"/>
          <w:b/>
          <w:i/>
          <w:color w:val="000000"/>
          <w:sz w:val="22"/>
        </w:rPr>
        <w:t>Equity Restructuring</w:t>
      </w:r>
      <w:r>
        <w:rPr>
          <w:color w:val="000000"/>
        </w:rPr>
        <w:t xml:space="preserve">” </w:t>
      </w:r>
      <w:r>
        <w:rPr>
          <w:rFonts w:ascii="sans-serif" w:hAnsi="sans-serif"/>
          <w:b w:val="false"/>
          <w:color w:val="000000"/>
          <w:sz w:val="22"/>
        </w:rPr>
        <w:t>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pStyle w:val="TextBody"/>
        <w:bidi w:val="0"/>
        <w:spacing w:lineRule="auto" w:line="288" w:before="0" w:after="240"/>
        <w:ind w:left="0" w:right="0" w:firstLine="720"/>
        <w:jc w:val="both"/>
        <w:rPr/>
      </w:pPr>
      <w:r>
        <w:rPr>
          <w:rFonts w:ascii="sans-serif" w:hAnsi="sans-serif"/>
          <w:b w:val="false"/>
          <w:color w:val="000000"/>
          <w:sz w:val="22"/>
        </w:rPr>
        <w:t>2.21    “</w:t>
      </w:r>
      <w:r>
        <w:rPr>
          <w:rFonts w:ascii="sans-serif" w:hAnsi="sans-serif"/>
          <w:b/>
          <w:i/>
          <w:color w:val="000000"/>
          <w:sz w:val="22"/>
        </w:rPr>
        <w:t>Exchange Act</w:t>
      </w:r>
      <w:r>
        <w:rPr>
          <w:color w:val="000000"/>
        </w:rPr>
        <w:t xml:space="preserve">” </w:t>
      </w:r>
      <w:r>
        <w:rPr>
          <w:rFonts w:ascii="sans-serif" w:hAnsi="sans-serif"/>
          <w:b w:val="false"/>
          <w:color w:val="000000"/>
          <w:sz w:val="22"/>
        </w:rPr>
        <w:t>means the U.S. Securities Exchange Act of 1934, as amended, and all regulations, guidance and other interpretative authority issued thereunder.</w:t>
      </w:r>
    </w:p>
    <w:p>
      <w:pPr>
        <w:pStyle w:val="TextBody"/>
        <w:bidi w:val="0"/>
        <w:spacing w:lineRule="auto" w:line="288" w:before="0" w:after="240"/>
        <w:ind w:left="0" w:right="0" w:firstLine="720"/>
        <w:jc w:val="both"/>
        <w:rPr/>
      </w:pPr>
      <w:r>
        <w:rPr>
          <w:rFonts w:ascii="sans-serif" w:hAnsi="sans-serif"/>
          <w:b w:val="false"/>
          <w:color w:val="000000"/>
          <w:sz w:val="22"/>
        </w:rPr>
        <w:t>2.22    “</w:t>
      </w:r>
      <w:r>
        <w:rPr>
          <w:rFonts w:ascii="sans-serif" w:hAnsi="sans-serif"/>
          <w:b/>
          <w:i/>
          <w:color w:val="000000"/>
          <w:sz w:val="22"/>
        </w:rPr>
        <w:t>Fair Market Value</w:t>
      </w:r>
      <w:r>
        <w:rPr>
          <w:color w:val="000000"/>
        </w:rPr>
        <w:t xml:space="preserve">” </w:t>
      </w:r>
      <w:r>
        <w:rPr>
          <w:rFonts w:ascii="sans-serif" w:hAnsi="sans-serif"/>
          <w:b w:val="false"/>
          <w:color w:val="000000"/>
          <w:sz w:val="22"/>
        </w:rPr>
        <w:t xml:space="preserve">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sans-serif" w:hAnsi="sans-serif"/>
          <w:b w:val="false"/>
          <w:i/>
          <w:color w:val="000000"/>
          <w:sz w:val="22"/>
        </w:rPr>
        <w:t>The Wall Street Journal</w:t>
      </w:r>
      <w:r>
        <w:rPr>
          <w:color w:val="000000"/>
        </w:rPr>
        <w:t xml:space="preserve"> </w:t>
      </w:r>
      <w:r>
        <w:rPr>
          <w:rFonts w:ascii="sans-serif" w:hAnsi="sans-serif"/>
          <w:b w:val="false"/>
          <w:color w:val="000000"/>
          <w:sz w:val="22"/>
        </w:rPr>
        <w:t xml:space="preserve">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sans-serif" w:hAnsi="sans-serif"/>
          <w:b w:val="false"/>
          <w:i/>
          <w:color w:val="000000"/>
          <w:sz w:val="22"/>
        </w:rPr>
        <w:t>The Wall Street Journal</w:t>
      </w:r>
      <w:r>
        <w:rPr>
          <w:color w:val="000000"/>
        </w:rPr>
        <w:t xml:space="preserve"> </w:t>
      </w:r>
      <w:r>
        <w:rPr>
          <w:rFonts w:ascii="sans-serif" w:hAnsi="sans-serif"/>
          <w:b w:val="false"/>
          <w:color w:val="000000"/>
          <w:sz w:val="22"/>
        </w:rPr>
        <w:t xml:space="preserve">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 Date but prior to the date the Company’s registration statement relating to its initial public offering becomes effective, the Fair Market Value means the initial public offering price of a Share as set forth in the Company’s final prospectus relating to its initial public offering filed with the Securities and Exchange Commission. </w:t>
      </w:r>
    </w:p>
    <w:p>
      <w:pPr>
        <w:pStyle w:val="TextBody"/>
        <w:bidi w:val="0"/>
        <w:spacing w:lineRule="auto" w:line="288" w:before="0" w:after="240"/>
        <w:ind w:left="0" w:right="0" w:firstLine="720"/>
        <w:jc w:val="both"/>
        <w:rPr/>
      </w:pPr>
      <w:r>
        <w:rPr>
          <w:rFonts w:ascii="sans-serif" w:hAnsi="sans-serif"/>
          <w:b w:val="false"/>
          <w:color w:val="000000"/>
          <w:sz w:val="22"/>
        </w:rPr>
        <w:t>2.23    “</w:t>
      </w:r>
      <w:r>
        <w:rPr>
          <w:rFonts w:ascii="sans-serif" w:hAnsi="sans-serif"/>
          <w:b/>
          <w:i/>
          <w:color w:val="000000"/>
          <w:sz w:val="22"/>
        </w:rPr>
        <w:t>Greater Than 10% Stockholder</w:t>
      </w:r>
      <w:r>
        <w:rPr>
          <w:color w:val="000000"/>
        </w:rPr>
        <w:t xml:space="preserve">” </w:t>
      </w:r>
      <w:r>
        <w:rPr>
          <w:rFonts w:ascii="sans-serif" w:hAnsi="sans-serif"/>
          <w:b w:val="false"/>
          <w:color w:val="000000"/>
          <w:sz w:val="22"/>
        </w:rPr>
        <w:t>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pStyle w:val="TextBody"/>
        <w:bidi w:val="0"/>
        <w:spacing w:lineRule="auto" w:line="288" w:before="0" w:after="240"/>
        <w:ind w:left="0" w:right="0" w:firstLine="720"/>
        <w:jc w:val="both"/>
        <w:rPr/>
      </w:pPr>
      <w:r>
        <w:rPr>
          <w:rFonts w:ascii="sans-serif" w:hAnsi="sans-serif"/>
          <w:b w:val="false"/>
          <w:color w:val="000000"/>
          <w:sz w:val="22"/>
        </w:rPr>
        <w:t>2.24    “</w:t>
      </w:r>
      <w:r>
        <w:rPr>
          <w:rFonts w:ascii="sans-serif" w:hAnsi="sans-serif"/>
          <w:b/>
          <w:i/>
          <w:color w:val="000000"/>
          <w:sz w:val="22"/>
        </w:rPr>
        <w:t>Incentive Stock Option</w:t>
      </w:r>
      <w:r>
        <w:rPr>
          <w:color w:val="000000"/>
        </w:rPr>
        <w:t xml:space="preserve">” </w:t>
      </w:r>
      <w:r>
        <w:rPr>
          <w:rFonts w:ascii="sans-serif" w:hAnsi="sans-serif"/>
          <w:b w:val="false"/>
          <w:color w:val="000000"/>
          <w:sz w:val="22"/>
        </w:rPr>
        <w:t>means an Option that meets the requirements to qualify as an “incentive stock option” as defined in Section 422 of the Code.</w:t>
      </w:r>
    </w:p>
    <w:p>
      <w:pPr>
        <w:pStyle w:val="TextBody"/>
        <w:bidi w:val="0"/>
        <w:spacing w:lineRule="auto" w:line="288" w:before="0" w:after="240"/>
        <w:ind w:left="0" w:right="0" w:firstLine="720"/>
        <w:jc w:val="both"/>
        <w:rPr/>
      </w:pPr>
      <w:r>
        <w:rPr>
          <w:rFonts w:ascii="sans-serif" w:hAnsi="sans-serif"/>
          <w:b w:val="false"/>
          <w:color w:val="000000"/>
          <w:sz w:val="22"/>
        </w:rPr>
        <w:t>2.25    “</w:t>
      </w:r>
      <w:r>
        <w:rPr>
          <w:rFonts w:ascii="sans-serif" w:hAnsi="sans-serif"/>
          <w:b/>
          <w:i/>
          <w:color w:val="000000"/>
          <w:sz w:val="22"/>
        </w:rPr>
        <w:t>Incumbent Directors”</w:t>
      </w:r>
      <w:r>
        <w:rPr>
          <w:color w:val="000000"/>
        </w:rPr>
        <w:t xml:space="preserve"> </w:t>
      </w:r>
      <w:r>
        <w:rPr>
          <w:rFonts w:ascii="sans-serif" w:hAnsi="sans-serif"/>
          <w:b w:val="false"/>
          <w:color w:val="000000"/>
          <w:sz w:val="22"/>
        </w:rPr>
        <w:t>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lineRule="auto" w:line="288" w:before="0" w:after="240"/>
        <w:ind w:left="0" w:right="0" w:firstLine="720"/>
        <w:jc w:val="both"/>
        <w:rPr/>
      </w:pPr>
      <w:r>
        <w:rPr>
          <w:rFonts w:ascii="sans-serif" w:hAnsi="sans-serif"/>
          <w:b w:val="false"/>
          <w:color w:val="000000"/>
          <w:sz w:val="22"/>
        </w:rPr>
        <w:t>2.26    “</w:t>
      </w:r>
      <w:r>
        <w:rPr>
          <w:rFonts w:ascii="sans-serif" w:hAnsi="sans-serif"/>
          <w:b/>
          <w:i/>
          <w:color w:val="000000"/>
          <w:sz w:val="22"/>
        </w:rPr>
        <w:t>Non-Employee</w:t>
      </w:r>
      <w:r>
        <w:rPr>
          <w:color w:val="000000"/>
        </w:rPr>
        <w:t xml:space="preserve"> </w:t>
      </w:r>
      <w:r>
        <w:rPr>
          <w:rFonts w:ascii="sans-serif" w:hAnsi="sans-serif"/>
          <w:b/>
          <w:i/>
          <w:color w:val="000000"/>
          <w:sz w:val="22"/>
        </w:rPr>
        <w:t>Directo</w:t>
      </w:r>
      <w:r>
        <w:rPr>
          <w:rFonts w:ascii="sans-serif" w:hAnsi="sans-serif"/>
          <w:b w:val="false"/>
          <w:i/>
          <w:color w:val="000000"/>
          <w:sz w:val="22"/>
        </w:rPr>
        <w:t>r</w:t>
      </w:r>
      <w:r>
        <w:rPr>
          <w:color w:val="000000"/>
        </w:rPr>
        <w:t xml:space="preserve">” </w:t>
      </w:r>
      <w:r>
        <w:rPr>
          <w:rFonts w:ascii="sans-serif" w:hAnsi="sans-serif"/>
          <w:b w:val="false"/>
          <w:color w:val="000000"/>
          <w:sz w:val="22"/>
        </w:rPr>
        <w:t xml:space="preserve">means a Director who is not an Employee.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2560"/>
                <wp:effectExtent l="0" t="0" r="0" b="0"/>
                <wp:wrapNone/>
                <wp:docPr id="16"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2.27    “</w:t>
      </w:r>
      <w:r>
        <w:rPr>
          <w:rFonts w:ascii="sans-serif" w:hAnsi="sans-serif"/>
          <w:b/>
          <w:i/>
          <w:color w:val="000000"/>
          <w:sz w:val="22"/>
        </w:rPr>
        <w:t>Nonqualified Stock Option</w:t>
      </w:r>
      <w:r>
        <w:rPr>
          <w:color w:val="000000"/>
        </w:rPr>
        <w:t xml:space="preserve">” </w:t>
      </w:r>
      <w:r>
        <w:rPr>
          <w:rFonts w:ascii="sans-serif" w:hAnsi="sans-serif"/>
          <w:b w:val="false"/>
          <w:color w:val="000000"/>
          <w:sz w:val="22"/>
        </w:rPr>
        <w:t xml:space="preserve">means an Option that is not an Incentive Stock Option. </w:t>
      </w:r>
    </w:p>
    <w:p>
      <w:pPr>
        <w:pStyle w:val="TextBody"/>
        <w:bidi w:val="0"/>
        <w:spacing w:lineRule="auto" w:line="288" w:before="0" w:after="240"/>
        <w:ind w:left="0" w:right="0" w:firstLine="720"/>
        <w:jc w:val="both"/>
        <w:rPr/>
      </w:pPr>
      <w:r>
        <w:rPr>
          <w:rFonts w:ascii="sans-serif" w:hAnsi="sans-serif"/>
          <w:b w:val="false"/>
          <w:color w:val="000000"/>
          <w:sz w:val="22"/>
        </w:rPr>
        <w:t>2.28    “</w:t>
      </w:r>
      <w:r>
        <w:rPr>
          <w:rFonts w:ascii="sans-serif" w:hAnsi="sans-serif"/>
          <w:b/>
          <w:i/>
          <w:color w:val="000000"/>
          <w:sz w:val="22"/>
        </w:rPr>
        <w:t>Option</w:t>
      </w:r>
      <w:r>
        <w:rPr>
          <w:color w:val="000000"/>
        </w:rPr>
        <w:t xml:space="preserve">” </w:t>
      </w:r>
      <w:r>
        <w:rPr>
          <w:rFonts w:ascii="sans-serif" w:hAnsi="sans-serif"/>
          <w:b w:val="false"/>
          <w:color w:val="000000"/>
          <w:sz w:val="22"/>
        </w:rPr>
        <w:t>means a right granted under Article VI to purchase a specified number of Shares at a specified price per Share during a specified time period. An Option may be either an Incentive Stock Option or a Nonqualified Stock Option.</w:t>
      </w:r>
    </w:p>
    <w:p>
      <w:pPr>
        <w:pStyle w:val="TextBody"/>
        <w:bidi w:val="0"/>
        <w:spacing w:lineRule="auto" w:line="288" w:before="0" w:after="240"/>
        <w:ind w:left="0" w:right="0" w:firstLine="720"/>
        <w:jc w:val="both"/>
        <w:rPr/>
      </w:pPr>
      <w:r>
        <w:rPr>
          <w:rFonts w:ascii="sans-serif" w:hAnsi="sans-serif"/>
          <w:b w:val="false"/>
          <w:color w:val="000000"/>
          <w:sz w:val="22"/>
        </w:rPr>
        <w:t>2.29    “</w:t>
      </w:r>
      <w:r>
        <w:rPr>
          <w:rFonts w:ascii="sans-serif" w:hAnsi="sans-serif"/>
          <w:b/>
          <w:i/>
          <w:color w:val="000000"/>
          <w:sz w:val="22"/>
        </w:rPr>
        <w:t>Other Stock or Cash Based Awards</w:t>
      </w:r>
      <w:r>
        <w:rPr>
          <w:color w:val="000000"/>
        </w:rPr>
        <w:t xml:space="preserve">” </w:t>
      </w:r>
      <w:r>
        <w:rPr>
          <w:rFonts w:ascii="sans-serif" w:hAnsi="sans-serif"/>
          <w:b w:val="false"/>
          <w:color w:val="000000"/>
          <w:sz w:val="22"/>
        </w:rPr>
        <w:t>means cash awards, awards of Shares, and other awards valued wholly or partially by referring to, or are otherwise based on, Shares or other property.</w:t>
      </w:r>
    </w:p>
    <w:p>
      <w:pPr>
        <w:pStyle w:val="TextBody"/>
        <w:bidi w:val="0"/>
        <w:spacing w:lineRule="auto" w:line="288" w:before="0" w:after="240"/>
        <w:ind w:left="0" w:right="0" w:firstLine="720"/>
        <w:jc w:val="both"/>
        <w:rPr/>
      </w:pPr>
      <w:r>
        <w:rPr>
          <w:rFonts w:ascii="sans-serif" w:hAnsi="sans-serif"/>
          <w:b w:val="false"/>
          <w:color w:val="000000"/>
          <w:sz w:val="22"/>
        </w:rPr>
        <w:t>2.30    “</w:t>
      </w:r>
      <w:r>
        <w:rPr>
          <w:rFonts w:ascii="sans-serif" w:hAnsi="sans-serif"/>
          <w:b/>
          <w:i/>
          <w:color w:val="000000"/>
          <w:sz w:val="22"/>
        </w:rPr>
        <w:t>Overall Share Limit</w:t>
      </w:r>
      <w:r>
        <w:rPr>
          <w:color w:val="000000"/>
        </w:rPr>
        <w:t xml:space="preserve">” </w:t>
      </w:r>
      <w:r>
        <w:rPr>
          <w:rFonts w:ascii="sans-serif" w:hAnsi="sans-serif"/>
          <w:b w:val="false"/>
          <w:color w:val="000000"/>
          <w:sz w:val="22"/>
        </w:rPr>
        <w:t xml:space="preserve">means the sum </w:t>
      </w:r>
      <w:r>
        <w:rPr>
          <w:rFonts w:ascii="sans-serif" w:hAnsi="sans-serif"/>
          <w:b w:val="false"/>
          <w:color w:val="000000"/>
          <w:sz w:val="22"/>
          <w:shd w:fill="FFFFFF" w:val="clear"/>
        </w:rPr>
        <w:t>of (i) 6,500,032</w:t>
      </w:r>
      <w:r>
        <w:rPr>
          <w:color w:val="000000"/>
        </w:rPr>
        <w:t xml:space="preserve"> </w:t>
      </w:r>
      <w:r>
        <w:rPr>
          <w:rFonts w:ascii="sans-serif" w:hAnsi="sans-serif"/>
          <w:b w:val="false"/>
          <w:color w:val="000000"/>
          <w:sz w:val="22"/>
        </w:rPr>
        <w:t>Shares plus (ii) any Shares that are subject to Prior Plan Awards that become available for issuance under the Plan as Shares pursuant to Article V plus (iv) an increase commencing on the first day of each calendar year beginning January 1, 2027 and continuing annually on the anniversary thereof through (and including) January 1, 2036, equal to the lesser of (A) 5% of the shares of all classes of the Company’s common stock outstanding on the last day of the immediately preceding fiscal year (calculated on an as-converted basis) and (B) such smaller number of Shares as determined by the Board or the Committee.</w:t>
      </w:r>
      <w:r>
        <w:rPr>
          <w:color w:val="000000"/>
        </w:rPr>
        <w:t xml:space="preserve"> </w:t>
      </w:r>
    </w:p>
    <w:p>
      <w:pPr>
        <w:pStyle w:val="TextBody"/>
        <w:bidi w:val="0"/>
        <w:spacing w:lineRule="auto" w:line="288" w:before="0" w:after="240"/>
        <w:ind w:left="0" w:right="0" w:firstLine="720"/>
        <w:jc w:val="both"/>
        <w:rPr/>
      </w:pPr>
      <w:r>
        <w:rPr>
          <w:rFonts w:ascii="sans-serif" w:hAnsi="sans-serif"/>
          <w:b w:val="false"/>
          <w:color w:val="000000"/>
          <w:sz w:val="22"/>
        </w:rPr>
        <w:t>2.31    “</w:t>
      </w:r>
      <w:r>
        <w:rPr>
          <w:rFonts w:ascii="sans-serif" w:hAnsi="sans-serif"/>
          <w:b/>
          <w:i/>
          <w:color w:val="000000"/>
          <w:sz w:val="22"/>
        </w:rPr>
        <w:t>Participant</w:t>
      </w:r>
      <w:r>
        <w:rPr>
          <w:color w:val="000000"/>
        </w:rPr>
        <w:t xml:space="preserve">” </w:t>
      </w:r>
      <w:r>
        <w:rPr>
          <w:rFonts w:ascii="sans-serif" w:hAnsi="sans-serif"/>
          <w:b w:val="false"/>
          <w:color w:val="000000"/>
          <w:sz w:val="22"/>
        </w:rPr>
        <w:t>means a Service Provider who has been granted an Award.</w:t>
      </w:r>
    </w:p>
    <w:p>
      <w:pPr>
        <w:pStyle w:val="TextBody"/>
        <w:bidi w:val="0"/>
        <w:spacing w:lineRule="auto" w:line="288" w:before="0" w:after="240"/>
        <w:ind w:left="0" w:right="0" w:firstLine="720"/>
        <w:jc w:val="both"/>
        <w:rPr/>
      </w:pPr>
      <w:r>
        <w:rPr>
          <w:rFonts w:ascii="sans-serif" w:hAnsi="sans-serif"/>
          <w:b w:val="false"/>
          <w:color w:val="000000"/>
          <w:sz w:val="22"/>
        </w:rPr>
        <w:t>2.32    “</w:t>
      </w:r>
      <w:r>
        <w:rPr>
          <w:rFonts w:ascii="sans-serif" w:hAnsi="sans-serif"/>
          <w:b/>
          <w:i/>
          <w:color w:val="000000"/>
          <w:sz w:val="22"/>
        </w:rPr>
        <w:t>Performance Bonus Award</w:t>
      </w:r>
      <w:r>
        <w:rPr>
          <w:color w:val="000000"/>
        </w:rPr>
        <w:t xml:space="preserve">” </w:t>
      </w:r>
      <w:r>
        <w:rPr>
          <w:rFonts w:ascii="sans-serif" w:hAnsi="sans-serif"/>
          <w:b w:val="false"/>
          <w:color w:val="000000"/>
          <w:sz w:val="22"/>
        </w:rPr>
        <w:t>has the meaning set forth in Section 8.3.</w:t>
      </w:r>
    </w:p>
    <w:p>
      <w:pPr>
        <w:pStyle w:val="TextBody"/>
        <w:bidi w:val="0"/>
        <w:spacing w:lineRule="auto" w:line="288" w:before="0" w:after="240"/>
        <w:ind w:left="0" w:right="0" w:firstLine="720"/>
        <w:jc w:val="both"/>
        <w:rPr/>
      </w:pPr>
      <w:r>
        <w:rPr>
          <w:rFonts w:ascii="sans-serif" w:hAnsi="sans-serif"/>
          <w:b w:val="false"/>
          <w:color w:val="000000"/>
          <w:sz w:val="22"/>
        </w:rPr>
        <w:t>2.33    “</w:t>
      </w:r>
      <w:r>
        <w:rPr>
          <w:rFonts w:ascii="sans-serif" w:hAnsi="sans-serif"/>
          <w:b/>
          <w:i/>
          <w:color w:val="000000"/>
          <w:sz w:val="22"/>
        </w:rPr>
        <w:t>Performance Stock Unit</w:t>
      </w:r>
      <w:r>
        <w:rPr>
          <w:color w:val="000000"/>
        </w:rPr>
        <w:t xml:space="preserve">” </w:t>
      </w:r>
      <w:r>
        <w:rPr>
          <w:rFonts w:ascii="sans-serif" w:hAnsi="sans-serif"/>
          <w:b w:val="false"/>
          <w:color w:val="000000"/>
          <w:sz w:val="22"/>
        </w:rPr>
        <w:t>means a right granted to a Participant pursuant to Section 8.1 and subject to Section 8.2, to receive cash or Shares, the payment of which is contingent upon achieving certain performance goals or other performance-based targets established by the Administrator.</w:t>
      </w:r>
    </w:p>
    <w:p>
      <w:pPr>
        <w:pStyle w:val="TextBody"/>
        <w:bidi w:val="0"/>
        <w:spacing w:lineRule="auto" w:line="288" w:before="0" w:after="240"/>
        <w:ind w:left="0" w:right="0" w:firstLine="720"/>
        <w:jc w:val="both"/>
        <w:rPr/>
      </w:pPr>
      <w:r>
        <w:rPr>
          <w:rFonts w:ascii="sans-serif" w:hAnsi="sans-serif"/>
          <w:b w:val="false"/>
          <w:color w:val="000000"/>
          <w:sz w:val="22"/>
        </w:rPr>
        <w:t>2.34    “</w:t>
      </w:r>
      <w:r>
        <w:rPr>
          <w:rFonts w:ascii="sans-serif" w:hAnsi="sans-serif"/>
          <w:b/>
          <w:i/>
          <w:color w:val="000000"/>
          <w:sz w:val="22"/>
        </w:rPr>
        <w:t>Permitted Transferee</w:t>
      </w:r>
      <w:r>
        <w:rPr>
          <w:color w:val="000000"/>
        </w:rPr>
        <w:t xml:space="preserve">” </w:t>
      </w:r>
      <w:r>
        <w:rPr>
          <w:rFonts w:ascii="sans-serif" w:hAnsi="sans-serif"/>
          <w:b w:val="false"/>
          <w:color w:val="000000"/>
          <w:sz w:val="22"/>
        </w:rPr>
        <w:t>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lineRule="auto" w:line="288" w:before="0" w:after="240"/>
        <w:ind w:left="0" w:right="0" w:firstLine="720"/>
        <w:jc w:val="both"/>
        <w:rPr/>
      </w:pPr>
      <w:r>
        <w:rPr>
          <w:rFonts w:ascii="sans-serif" w:hAnsi="sans-serif"/>
          <w:b w:val="false"/>
          <w:color w:val="000000"/>
          <w:sz w:val="22"/>
        </w:rPr>
        <w:t>2.35    “</w:t>
      </w:r>
      <w:r>
        <w:rPr>
          <w:rFonts w:ascii="sans-serif" w:hAnsi="sans-serif"/>
          <w:b/>
          <w:i/>
          <w:color w:val="000000"/>
          <w:sz w:val="22"/>
        </w:rPr>
        <w:t>Plan</w:t>
      </w:r>
      <w:r>
        <w:rPr>
          <w:color w:val="000000"/>
        </w:rPr>
        <w:t xml:space="preserve">” </w:t>
      </w:r>
      <w:r>
        <w:rPr>
          <w:rFonts w:ascii="sans-serif" w:hAnsi="sans-serif"/>
          <w:b w:val="false"/>
          <w:color w:val="000000"/>
          <w:sz w:val="22"/>
        </w:rPr>
        <w:t>means this 2026 Incentive Award Plan.</w:t>
      </w:r>
    </w:p>
    <w:p>
      <w:pPr>
        <w:pStyle w:val="TextBody"/>
        <w:bidi w:val="0"/>
        <w:spacing w:lineRule="auto" w:line="288" w:before="0" w:after="240"/>
        <w:ind w:left="0" w:right="0" w:firstLine="720"/>
        <w:jc w:val="both"/>
        <w:rPr/>
      </w:pPr>
      <w:r>
        <w:rPr>
          <w:rFonts w:ascii="sans-serif" w:hAnsi="sans-serif"/>
          <w:b w:val="false"/>
          <w:color w:val="000000"/>
          <w:sz w:val="22"/>
        </w:rPr>
        <w:t>2.36    “</w:t>
      </w:r>
      <w:r>
        <w:rPr>
          <w:rFonts w:ascii="sans-serif" w:hAnsi="sans-serif"/>
          <w:b/>
          <w:i/>
          <w:color w:val="000000"/>
          <w:sz w:val="22"/>
        </w:rPr>
        <w:t>Prior Plan</w:t>
      </w:r>
      <w:r>
        <w:rPr>
          <w:color w:val="000000"/>
        </w:rPr>
        <w:t xml:space="preserve">” </w:t>
      </w:r>
      <w:r>
        <w:rPr>
          <w:rFonts w:ascii="sans-serif" w:hAnsi="sans-serif"/>
          <w:b w:val="false"/>
          <w:color w:val="000000"/>
          <w:sz w:val="22"/>
        </w:rPr>
        <w:t>means the Neutron Holdings, Inc. 2017 Stock Incentive Plan, as amended.</w:t>
      </w:r>
    </w:p>
    <w:p>
      <w:pPr>
        <w:pStyle w:val="TextBody"/>
        <w:bidi w:val="0"/>
        <w:spacing w:lineRule="auto" w:line="288" w:before="0" w:after="240"/>
        <w:ind w:left="0" w:right="0" w:firstLine="720"/>
        <w:jc w:val="both"/>
        <w:rPr/>
      </w:pPr>
      <w:r>
        <w:rPr>
          <w:rFonts w:ascii="sans-serif" w:hAnsi="sans-serif"/>
          <w:b w:val="false"/>
          <w:color w:val="000000"/>
          <w:sz w:val="22"/>
        </w:rPr>
        <w:t>2.37    “</w:t>
      </w:r>
      <w:r>
        <w:rPr>
          <w:rFonts w:ascii="sans-serif" w:hAnsi="sans-serif"/>
          <w:b/>
          <w:i/>
          <w:color w:val="000000"/>
          <w:sz w:val="22"/>
        </w:rPr>
        <w:t>Prior Plan Award</w:t>
      </w:r>
      <w:r>
        <w:rPr>
          <w:color w:val="000000"/>
        </w:rPr>
        <w:t xml:space="preserve">” </w:t>
      </w:r>
      <w:r>
        <w:rPr>
          <w:rFonts w:ascii="sans-serif" w:hAnsi="sans-serif"/>
          <w:b w:val="false"/>
          <w:color w:val="000000"/>
          <w:sz w:val="22"/>
        </w:rPr>
        <w:t>means an award outstanding under the Prior Plan as of immediately prior to the Effective Date.</w:t>
      </w:r>
    </w:p>
    <w:p>
      <w:pPr>
        <w:pStyle w:val="TextBody"/>
        <w:bidi w:val="0"/>
        <w:spacing w:lineRule="auto" w:line="288" w:before="0" w:after="240"/>
        <w:ind w:left="0" w:right="0" w:firstLine="720"/>
        <w:jc w:val="both"/>
        <w:rPr/>
      </w:pPr>
      <w:r>
        <w:rPr>
          <w:rFonts w:ascii="sans-serif" w:hAnsi="sans-serif"/>
          <w:b w:val="false"/>
          <w:color w:val="000000"/>
          <w:sz w:val="22"/>
        </w:rPr>
        <w:t>2.38    “</w:t>
      </w:r>
      <w:r>
        <w:rPr>
          <w:rFonts w:ascii="sans-serif" w:hAnsi="sans-serif"/>
          <w:b/>
          <w:i/>
          <w:color w:val="000000"/>
          <w:sz w:val="22"/>
        </w:rPr>
        <w:t>Restricted Stock</w:t>
      </w:r>
      <w:r>
        <w:rPr>
          <w:color w:val="000000"/>
        </w:rPr>
        <w:t xml:space="preserve">” </w:t>
      </w:r>
      <w:r>
        <w:rPr>
          <w:rFonts w:ascii="sans-serif" w:hAnsi="sans-serif"/>
          <w:b w:val="false"/>
          <w:color w:val="000000"/>
          <w:sz w:val="22"/>
        </w:rPr>
        <w:t>means Shares awarded to a Participant under Article VII, subject to certain vesting conditions and other restrictions.</w:t>
      </w:r>
    </w:p>
    <w:p>
      <w:pPr>
        <w:pStyle w:val="TextBody"/>
        <w:bidi w:val="0"/>
        <w:spacing w:lineRule="auto" w:line="288" w:before="0" w:after="240"/>
        <w:ind w:left="0" w:right="0" w:firstLine="720"/>
        <w:jc w:val="both"/>
        <w:rPr/>
      </w:pPr>
      <w:r>
        <w:rPr>
          <w:rFonts w:ascii="sans-serif" w:hAnsi="sans-serif"/>
          <w:b w:val="false"/>
          <w:color w:val="000000"/>
          <w:sz w:val="22"/>
        </w:rPr>
        <w:t>2.39    “</w:t>
      </w:r>
      <w:r>
        <w:rPr>
          <w:rFonts w:ascii="sans-serif" w:hAnsi="sans-serif"/>
          <w:b/>
          <w:i/>
          <w:color w:val="000000"/>
          <w:sz w:val="22"/>
        </w:rPr>
        <w:t>Restricted Stock Unit</w:t>
      </w:r>
      <w:r>
        <w:rPr>
          <w:color w:val="000000"/>
        </w:rPr>
        <w:t xml:space="preserve">” </w:t>
      </w:r>
      <w:r>
        <w:rPr>
          <w:rFonts w:ascii="sans-serif" w:hAnsi="sans-serif"/>
          <w:b w:val="false"/>
          <w:color w:val="000000"/>
          <w:sz w:val="22"/>
        </w:rPr>
        <w:t>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pStyle w:val="TextBody"/>
        <w:bidi w:val="0"/>
        <w:spacing w:lineRule="auto" w:line="288" w:before="0" w:after="240"/>
        <w:ind w:left="0" w:right="0" w:firstLine="720"/>
        <w:jc w:val="both"/>
        <w:rPr/>
      </w:pPr>
      <w:r>
        <w:rPr>
          <w:rFonts w:ascii="sans-serif" w:hAnsi="sans-serif"/>
          <w:b w:val="false"/>
          <w:color w:val="000000"/>
          <w:sz w:val="22"/>
        </w:rPr>
        <w:t>2.40    “</w:t>
      </w:r>
      <w:r>
        <w:rPr>
          <w:rFonts w:ascii="sans-serif" w:hAnsi="sans-serif"/>
          <w:b/>
          <w:i/>
          <w:color w:val="000000"/>
          <w:sz w:val="22"/>
        </w:rPr>
        <w:t>Rule 16b-3</w:t>
      </w:r>
      <w:r>
        <w:rPr>
          <w:color w:val="000000"/>
        </w:rPr>
        <w:t xml:space="preserve">” </w:t>
      </w:r>
      <w:r>
        <w:rPr>
          <w:rFonts w:ascii="sans-serif" w:hAnsi="sans-serif"/>
          <w:b w:val="false"/>
          <w:color w:val="000000"/>
          <w:sz w:val="22"/>
        </w:rPr>
        <w:t>means Rule 16b-3 promulgated under the Exchange Act, including any amendments thereto.</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2560"/>
                <wp:effectExtent l="0" t="0" r="0" b="0"/>
                <wp:wrapNone/>
                <wp:docPr id="17" name="Frame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2.41    “</w:t>
      </w:r>
      <w:r>
        <w:rPr>
          <w:rFonts w:ascii="sans-serif" w:hAnsi="sans-serif"/>
          <w:b/>
          <w:i/>
          <w:color w:val="000000"/>
          <w:sz w:val="22"/>
        </w:rPr>
        <w:t>Section 409A</w:t>
      </w:r>
      <w:r>
        <w:rPr>
          <w:color w:val="000000"/>
        </w:rPr>
        <w:t xml:space="preserve">” </w:t>
      </w:r>
      <w:r>
        <w:rPr>
          <w:rFonts w:ascii="sans-serif" w:hAnsi="sans-serif"/>
          <w:b w:val="false"/>
          <w:color w:val="000000"/>
          <w:sz w:val="22"/>
        </w:rPr>
        <w:t>means Section 409A of the Code and the regulations promulgated thereunder by the United States Treasury Department, as amended or as may be amended from time to time.</w:t>
      </w:r>
    </w:p>
    <w:p>
      <w:pPr>
        <w:pStyle w:val="TextBody"/>
        <w:bidi w:val="0"/>
        <w:spacing w:lineRule="auto" w:line="288" w:before="0" w:after="240"/>
        <w:ind w:left="0" w:right="0" w:firstLine="720"/>
        <w:jc w:val="both"/>
        <w:rPr/>
      </w:pPr>
      <w:r>
        <w:rPr>
          <w:rFonts w:ascii="sans-serif" w:hAnsi="sans-serif"/>
          <w:b w:val="false"/>
          <w:color w:val="000000"/>
          <w:sz w:val="22"/>
        </w:rPr>
        <w:t>2.42    “</w:t>
      </w:r>
      <w:r>
        <w:rPr>
          <w:rFonts w:ascii="sans-serif" w:hAnsi="sans-serif"/>
          <w:b/>
          <w:i/>
          <w:color w:val="000000"/>
          <w:sz w:val="22"/>
        </w:rPr>
        <w:t>Securities Act</w:t>
      </w:r>
      <w:r>
        <w:rPr>
          <w:color w:val="000000"/>
        </w:rPr>
        <w:t xml:space="preserve">” </w:t>
      </w:r>
      <w:r>
        <w:rPr>
          <w:rFonts w:ascii="sans-serif" w:hAnsi="sans-serif"/>
          <w:b w:val="false"/>
          <w:color w:val="000000"/>
          <w:sz w:val="22"/>
        </w:rPr>
        <w:t>means the Securities Act of 1933, as amended, and all regulations, guidance and other interpretative authority issued thereunder.</w:t>
      </w:r>
    </w:p>
    <w:p>
      <w:pPr>
        <w:pStyle w:val="TextBody"/>
        <w:bidi w:val="0"/>
        <w:spacing w:lineRule="auto" w:line="288" w:before="0" w:after="240"/>
        <w:ind w:left="0" w:right="0" w:firstLine="720"/>
        <w:jc w:val="both"/>
        <w:rPr/>
      </w:pPr>
      <w:r>
        <w:rPr>
          <w:rFonts w:ascii="sans-serif" w:hAnsi="sans-serif"/>
          <w:b w:val="false"/>
          <w:color w:val="000000"/>
          <w:sz w:val="22"/>
        </w:rPr>
        <w:t>2.43    “</w:t>
      </w:r>
      <w:r>
        <w:rPr>
          <w:rFonts w:ascii="sans-serif" w:hAnsi="sans-serif"/>
          <w:b/>
          <w:i/>
          <w:color w:val="000000"/>
          <w:sz w:val="22"/>
        </w:rPr>
        <w:t>Service Provider</w:t>
      </w:r>
      <w:r>
        <w:rPr>
          <w:color w:val="000000"/>
        </w:rPr>
        <w:t xml:space="preserve">” </w:t>
      </w:r>
      <w:r>
        <w:rPr>
          <w:rFonts w:ascii="sans-serif" w:hAnsi="sans-serif"/>
          <w:b w:val="false"/>
          <w:color w:val="000000"/>
          <w:sz w:val="22"/>
        </w:rPr>
        <w:t>means an Employee, Consultant or Director.</w:t>
      </w:r>
    </w:p>
    <w:p>
      <w:pPr>
        <w:pStyle w:val="TextBody"/>
        <w:bidi w:val="0"/>
        <w:spacing w:lineRule="auto" w:line="288" w:before="0" w:after="240"/>
        <w:ind w:left="0" w:right="0" w:firstLine="720"/>
        <w:jc w:val="both"/>
        <w:rPr/>
      </w:pPr>
      <w:r>
        <w:rPr>
          <w:rFonts w:ascii="sans-serif" w:hAnsi="sans-serif"/>
          <w:b w:val="false"/>
          <w:color w:val="000000"/>
          <w:sz w:val="22"/>
        </w:rPr>
        <w:t>2.44    “</w:t>
      </w:r>
      <w:r>
        <w:rPr>
          <w:rFonts w:ascii="sans-serif" w:hAnsi="sans-serif"/>
          <w:b/>
          <w:i/>
          <w:color w:val="000000"/>
          <w:sz w:val="22"/>
        </w:rPr>
        <w:t>Shares</w:t>
      </w:r>
      <w:r>
        <w:rPr>
          <w:color w:val="000000"/>
        </w:rPr>
        <w:t xml:space="preserve">” </w:t>
      </w:r>
      <w:r>
        <w:rPr>
          <w:rFonts w:ascii="sans-serif" w:hAnsi="sans-serif"/>
          <w:b w:val="false"/>
          <w:color w:val="000000"/>
          <w:sz w:val="22"/>
        </w:rPr>
        <w:t>means shares of Common Stock.</w:t>
      </w:r>
    </w:p>
    <w:p>
      <w:pPr>
        <w:pStyle w:val="TextBody"/>
        <w:bidi w:val="0"/>
        <w:spacing w:lineRule="auto" w:line="288" w:before="0" w:after="240"/>
        <w:ind w:left="0" w:right="0" w:firstLine="720"/>
        <w:jc w:val="both"/>
        <w:rPr/>
      </w:pPr>
      <w:r>
        <w:rPr>
          <w:rFonts w:ascii="sans-serif" w:hAnsi="sans-serif"/>
          <w:b w:val="false"/>
          <w:color w:val="000000"/>
          <w:sz w:val="22"/>
        </w:rPr>
        <w:t>2.45    “</w:t>
      </w:r>
      <w:r>
        <w:rPr>
          <w:rFonts w:ascii="sans-serif" w:hAnsi="sans-serif"/>
          <w:b/>
          <w:i/>
          <w:color w:val="000000"/>
          <w:sz w:val="22"/>
        </w:rPr>
        <w:t>Stock Appreciation Right</w:t>
      </w:r>
      <w:r>
        <w:rPr>
          <w:color w:val="000000"/>
        </w:rPr>
        <w:t xml:space="preserve">” </w:t>
      </w:r>
      <w:r>
        <w:rPr>
          <w:rFonts w:ascii="sans-serif" w:hAnsi="sans-serif"/>
          <w:b w:val="false"/>
          <w:color w:val="000000"/>
          <w:sz w:val="22"/>
        </w:rPr>
        <w:t>or “</w:t>
      </w:r>
      <w:r>
        <w:rPr>
          <w:rFonts w:ascii="sans-serif" w:hAnsi="sans-serif"/>
          <w:b/>
          <w:i/>
          <w:color w:val="000000"/>
          <w:sz w:val="22"/>
        </w:rPr>
        <w:t>SAR</w:t>
      </w:r>
      <w:r>
        <w:rPr>
          <w:color w:val="000000"/>
        </w:rPr>
        <w:t xml:space="preserve">” </w:t>
      </w:r>
      <w:r>
        <w:rPr>
          <w:rFonts w:ascii="sans-serif" w:hAnsi="sans-serif"/>
          <w:b w:val="false"/>
          <w:color w:val="000000"/>
          <w:sz w:val="22"/>
        </w:rPr>
        <w:t>means a right granted under Article VI to receive a payment equal to the excess of the Fair Market Value of a specified number of Shares on the date the right is exercised over the exercise price set forth in the applicable Award Agreement.</w:t>
      </w:r>
    </w:p>
    <w:p>
      <w:pPr>
        <w:pStyle w:val="TextBody"/>
        <w:bidi w:val="0"/>
        <w:spacing w:lineRule="auto" w:line="288" w:before="0" w:after="240"/>
        <w:ind w:left="0" w:right="0" w:firstLine="720"/>
        <w:jc w:val="both"/>
        <w:rPr/>
      </w:pPr>
      <w:r>
        <w:rPr>
          <w:rFonts w:ascii="sans-serif" w:hAnsi="sans-serif"/>
          <w:b w:val="false"/>
          <w:color w:val="000000"/>
          <w:sz w:val="22"/>
        </w:rPr>
        <w:t>2.46    “</w:t>
      </w:r>
      <w:r>
        <w:rPr>
          <w:rFonts w:ascii="sans-serif" w:hAnsi="sans-serif"/>
          <w:b/>
          <w:i/>
          <w:color w:val="000000"/>
          <w:sz w:val="22"/>
        </w:rPr>
        <w:t>Subsidiary</w:t>
      </w:r>
      <w:r>
        <w:rPr>
          <w:color w:val="000000"/>
        </w:rPr>
        <w:t xml:space="preserve">” </w:t>
      </w:r>
      <w:r>
        <w:rPr>
          <w:rFonts w:ascii="sans-serif" w:hAnsi="sans-serif"/>
          <w:b w:val="false"/>
          <w:color w:val="000000"/>
          <w:sz w:val="22"/>
        </w:rPr>
        <w:t>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lineRule="auto" w:line="288" w:before="0" w:after="240"/>
        <w:ind w:left="0" w:right="0" w:firstLine="720"/>
        <w:jc w:val="both"/>
        <w:rPr/>
      </w:pPr>
      <w:r>
        <w:rPr>
          <w:rFonts w:ascii="sans-serif" w:hAnsi="sans-serif"/>
          <w:b w:val="false"/>
          <w:color w:val="000000"/>
          <w:sz w:val="22"/>
        </w:rPr>
        <w:t>2.47    “</w:t>
      </w:r>
      <w:r>
        <w:rPr>
          <w:rFonts w:ascii="sans-serif" w:hAnsi="sans-serif"/>
          <w:b/>
          <w:i/>
          <w:color w:val="000000"/>
          <w:sz w:val="22"/>
        </w:rPr>
        <w:t>Substitute Awards</w:t>
      </w:r>
      <w:r>
        <w:rPr>
          <w:color w:val="000000"/>
        </w:rPr>
        <w:t xml:space="preserve">” </w:t>
      </w:r>
      <w:r>
        <w:rPr>
          <w:rFonts w:ascii="sans-serif" w:hAnsi="sans-serif"/>
          <w:b w:val="false"/>
          <w:color w:val="000000"/>
          <w:sz w:val="22"/>
        </w:rPr>
        <w:t>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pStyle w:val="TextBody"/>
        <w:bidi w:val="0"/>
        <w:spacing w:lineRule="auto" w:line="288" w:before="0" w:after="240"/>
        <w:ind w:left="0" w:right="0" w:firstLine="720"/>
        <w:jc w:val="both"/>
        <w:rPr/>
      </w:pPr>
      <w:r>
        <w:rPr>
          <w:rFonts w:ascii="sans-serif" w:hAnsi="sans-serif"/>
          <w:b w:val="false"/>
          <w:color w:val="000000"/>
          <w:sz w:val="22"/>
        </w:rPr>
        <w:t>2.48    “</w:t>
      </w:r>
      <w:r>
        <w:rPr>
          <w:rFonts w:ascii="sans-serif" w:hAnsi="sans-serif"/>
          <w:b/>
          <w:i/>
          <w:color w:val="000000"/>
          <w:sz w:val="22"/>
        </w:rPr>
        <w:t>Tax-Related Items</w:t>
      </w:r>
      <w:r>
        <w:rPr>
          <w:color w:val="000000"/>
        </w:rPr>
        <w:t xml:space="preserve">” </w:t>
      </w:r>
      <w:r>
        <w:rPr>
          <w:rFonts w:ascii="sans-serif" w:hAnsi="sans-serif"/>
          <w:b w:val="false"/>
          <w:color w:val="000000"/>
          <w:sz w:val="22"/>
        </w:rPr>
        <w:t>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pStyle w:val="TextBody"/>
        <w:bidi w:val="0"/>
        <w:spacing w:lineRule="auto" w:line="288" w:before="0" w:after="240"/>
        <w:ind w:left="0" w:right="0" w:firstLine="720"/>
        <w:jc w:val="both"/>
        <w:rPr/>
      </w:pPr>
      <w:r>
        <w:rPr>
          <w:rFonts w:ascii="sans-serif" w:hAnsi="sans-serif"/>
          <w:b w:val="false"/>
          <w:color w:val="000000"/>
          <w:sz w:val="22"/>
        </w:rPr>
        <w:t>2.49    “</w:t>
      </w:r>
      <w:r>
        <w:rPr>
          <w:rFonts w:ascii="sans-serif" w:hAnsi="sans-serif"/>
          <w:b/>
          <w:i/>
          <w:color w:val="000000"/>
          <w:sz w:val="22"/>
        </w:rPr>
        <w:t>Termination of Service</w:t>
      </w:r>
      <w:r>
        <w:rPr>
          <w:color w:val="000000"/>
        </w:rPr>
        <w:t xml:space="preserve">” </w:t>
      </w:r>
      <w:r>
        <w:rPr>
          <w:rFonts w:ascii="sans-serif" w:hAnsi="sans-serif"/>
          <w:b w:val="false"/>
          <w:color w:val="000000"/>
          <w:sz w:val="22"/>
        </w:rPr>
        <w:t>means:</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(a)    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(c)    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2560"/>
                <wp:effectExtent l="0" t="0" r="0" b="0"/>
                <wp:wrapNone/>
                <wp:docPr id="18" name="Frame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 xml:space="preserve">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 </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III.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ELIGIBILITY</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IV.</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 xml:space="preserve">ADMINISTRATION AND DELEGATION </w:t>
      </w:r>
    </w:p>
    <w:p>
      <w:pPr>
        <w:pStyle w:val="TextBody"/>
        <w:bidi w:val="0"/>
        <w:spacing w:lineRule="auto" w:line="288" w:before="0" w:after="240"/>
        <w:ind w:left="0" w:right="0" w:firstLine="720"/>
        <w:jc w:val="both"/>
        <w:rPr/>
      </w:pPr>
      <w:r>
        <w:rPr>
          <w:rFonts w:ascii="sans-serif" w:hAnsi="sans-serif"/>
          <w:b w:val="false"/>
          <w:color w:val="000000"/>
          <w:sz w:val="22"/>
        </w:rPr>
        <w:t>4.1    </w:t>
      </w:r>
      <w:r>
        <w:rPr>
          <w:rFonts w:ascii="sans-serif" w:hAnsi="sans-serif"/>
          <w:b w:val="false"/>
          <w:color w:val="000000"/>
          <w:sz w:val="22"/>
          <w:u w:val="single"/>
        </w:rPr>
        <w:t>Administration</w:t>
      </w:r>
      <w:r>
        <w:rPr>
          <w:rFonts w:ascii="sans-serif" w:hAnsi="sans-serif"/>
          <w:b w:val="false"/>
          <w:color w:val="000000"/>
          <w:sz w:val="22"/>
        </w:rPr>
        <w:t xml:space="preserv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any Award Agreement or any Award and make all other determinations that it deems necessary or appropriate to administer the Plan and any Awards. The Administrator (and each member thereof) is entitled to, in good faith, rely or act upon any report or other information furnished to the Administrator or any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(b)    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2560"/>
                <wp:effectExtent l="0" t="0" r="0" b="0"/>
                <wp:wrapNone/>
                <wp:docPr id="19" name="Frame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other decisions and determinations that may be required pursuant to the Plan or as the Administrator deems necessary or advisable to administer the Plan. </w:t>
      </w:r>
    </w:p>
    <w:p>
      <w:pPr>
        <w:pStyle w:val="TextBody"/>
        <w:bidi w:val="0"/>
        <w:spacing w:lineRule="auto" w:line="288" w:before="0" w:after="240"/>
        <w:ind w:left="0" w:right="0" w:firstLine="720"/>
        <w:jc w:val="both"/>
        <w:rPr/>
      </w:pPr>
      <w:r>
        <w:rPr>
          <w:rFonts w:ascii="sans-serif" w:hAnsi="sans-serif"/>
          <w:b w:val="false"/>
          <w:color w:val="000000"/>
          <w:sz w:val="22"/>
        </w:rPr>
        <w:t>4.2    </w:t>
      </w:r>
      <w:r>
        <w:rPr>
          <w:rFonts w:ascii="sans-serif" w:hAnsi="sans-serif"/>
          <w:b w:val="false"/>
          <w:color w:val="000000"/>
          <w:sz w:val="22"/>
          <w:u w:val="single"/>
        </w:rPr>
        <w:t>Delegation of Authority</w:t>
      </w:r>
      <w:r>
        <w:rPr>
          <w:rFonts w:ascii="sans-serif" w:hAnsi="sans-serif"/>
          <w:b w:val="false"/>
          <w:color w:val="000000"/>
          <w:sz w:val="22"/>
        </w:rPr>
        <w:t>. To the extent permitted by Applicable Law, the Board or any Committee may delegate any or all of its powers under the Plan to one or more Committees or officers of the Company or any of its Subsidiaries; provided,</w:t>
      </w:r>
      <w:r>
        <w:rPr>
          <w:color w:val="000000"/>
        </w:rPr>
        <w:t xml:space="preserve"> </w:t>
      </w:r>
      <w:r>
        <w:rPr>
          <w:rFonts w:ascii="sans-serif" w:hAnsi="sans-serif"/>
          <w:b w:val="false"/>
          <w:color w:val="000000"/>
          <w:sz w:val="22"/>
        </w:rPr>
        <w:t>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the Administrator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w:t>
      </w:r>
      <w:r>
        <w:rPr>
          <w:color w:val="000000"/>
        </w:rPr>
        <w:t xml:space="preserve"> </w:t>
      </w:r>
      <w:r>
        <w:rPr>
          <w:rFonts w:ascii="sans-serif" w:hAnsi="sans-serif"/>
          <w:b w:val="false"/>
          <w:color w:val="000000"/>
          <w:sz w:val="22"/>
        </w:rPr>
        <w:t>shall serve in such capacity at the pleasure of the Board or the Administrator, as applicable, and the Board or the Committee may abolish any committee at any time and re-vest in itself any previously delegated authority. Further, regardless of any delegation, the Board or the Administrator may, in its discretion, exercise any and all rights and duties as the Administrator under the Plan delegated thereby, except with respect to Awards that are required to be determined in the sole discretion of the Board or the Administrator under the rules of any securities exchange or automated quotation system on which the Shares are listed, quoted or traded.</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V.</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STOCK AVAILABLE FOR AWARDS</w:t>
      </w:r>
    </w:p>
    <w:p>
      <w:pPr>
        <w:pStyle w:val="TextBody"/>
        <w:bidi w:val="0"/>
        <w:spacing w:lineRule="auto" w:line="288" w:before="0" w:after="240"/>
        <w:ind w:left="0" w:right="0" w:firstLine="720"/>
        <w:jc w:val="both"/>
        <w:rPr/>
      </w:pPr>
      <w:r>
        <w:rPr>
          <w:rFonts w:ascii="sans-serif" w:hAnsi="sans-serif"/>
          <w:b w:val="false"/>
          <w:color w:val="000000"/>
          <w:sz w:val="22"/>
        </w:rPr>
        <w:t>5.1    </w:t>
      </w:r>
      <w:r>
        <w:rPr>
          <w:rFonts w:ascii="sans-serif" w:hAnsi="sans-serif"/>
          <w:b w:val="false"/>
          <w:color w:val="000000"/>
          <w:sz w:val="22"/>
          <w:u w:val="single"/>
        </w:rPr>
        <w:t>Number of Shares</w:t>
      </w:r>
      <w:r>
        <w:rPr>
          <w:rFonts w:ascii="sans-serif" w:hAnsi="sans-serif"/>
          <w:b w:val="false"/>
          <w:color w:val="000000"/>
          <w:sz w:val="22"/>
        </w:rPr>
        <w:t xml:space="preserve">. Subject to adjustment under Article IX and the terms of this Article V, Awards may be made under the Plan covering up to the Overall Share Limit. As of the Effective Date, the Company will cease granting awards under the Prior Plans; however, Prior Plan Awards will remain subject to the terms of the applicable Prior Plan. Shares issued or delivered under the Plan may consist of authorized but unissued Shares, Shares purchased on the open market or treasury Shares. </w:t>
      </w:r>
    </w:p>
    <w:p>
      <w:pPr>
        <w:pStyle w:val="TextBody"/>
        <w:bidi w:val="0"/>
        <w:spacing w:lineRule="auto" w:line="288" w:before="0" w:after="240"/>
        <w:ind w:left="0" w:right="0" w:firstLine="720"/>
        <w:jc w:val="both"/>
        <w:rPr/>
      </w:pPr>
      <w:r>
        <w:rPr>
          <w:rFonts w:ascii="sans-serif" w:hAnsi="sans-serif"/>
          <w:b w:val="false"/>
          <w:color w:val="000000"/>
          <w:sz w:val="22"/>
        </w:rPr>
        <w:t>5.2    </w:t>
      </w:r>
      <w:r>
        <w:rPr>
          <w:rFonts w:ascii="sans-serif" w:hAnsi="sans-serif"/>
          <w:b w:val="false"/>
          <w:color w:val="000000"/>
          <w:sz w:val="22"/>
          <w:u w:val="single"/>
        </w:rPr>
        <w:t>Share Recycling</w:t>
      </w:r>
      <w:r>
        <w:rPr>
          <w:rFonts w:ascii="sans-serif" w:hAnsi="sans-serif"/>
          <w:b w:val="false"/>
          <w:color w:val="000000"/>
          <w:sz w:val="22"/>
        </w:rPr>
        <w:t xml:space="preserv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If all or any part of 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in each case, as Common Stock for Awards under the Plan. The payment of Dividend Equivalents in cash in conjunction with any outstanding Awards or Prior Plan Awards shall not count against the Overall Share Limit.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(b)    In addition, the following Shares shall be available for future grants of Awards: (i) Shares tendered by a Participant or withheld by the Company in payment of the exercise price of an Option or any stock option granted under the applicable Prior Plan; (ii) Shares tendered by the Participant or withheld by the Company to satisfy any tax withholding obligation with respect to an Award or any Prior Plan Award; and (iii) Shares subject to a Stock Appreciation Right that are not issued in connection with the stock settlement of the Stock Appreciation Right on exercise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2560"/>
                <wp:effectExtent l="0" t="0" r="0" b="0"/>
                <wp:wrapNone/>
                <wp:docPr id="20" name="Frame1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Notwithstanding the provisions of this Section 5.2(b), no Shares may again be optioned, granted or awarded pursuant to an Incentive Stock Option if such action would cause such Option to fail to qualify as an incentive stock option under Section 422 of the Code. </w:t>
      </w:r>
    </w:p>
    <w:p>
      <w:pPr>
        <w:pStyle w:val="TextBody"/>
        <w:bidi w:val="0"/>
        <w:spacing w:lineRule="auto" w:line="288" w:before="0" w:after="240"/>
        <w:ind w:left="0" w:right="0" w:firstLine="720"/>
        <w:jc w:val="both"/>
        <w:rPr/>
      </w:pPr>
      <w:r>
        <w:rPr>
          <w:rFonts w:ascii="sans-serif" w:hAnsi="sans-serif"/>
          <w:b w:val="false"/>
          <w:color w:val="000000"/>
          <w:sz w:val="22"/>
        </w:rPr>
        <w:t>5.3    </w:t>
      </w:r>
      <w:r>
        <w:rPr>
          <w:rFonts w:ascii="sans-serif" w:hAnsi="sans-serif"/>
          <w:b w:val="false"/>
          <w:color w:val="000000"/>
          <w:sz w:val="22"/>
          <w:u w:val="single"/>
        </w:rPr>
        <w:t>Incentive Stock Option Limitations</w:t>
      </w:r>
      <w:r>
        <w:rPr>
          <w:rFonts w:ascii="sans-serif" w:hAnsi="sans-serif"/>
          <w:b w:val="false"/>
          <w:color w:val="000000"/>
          <w:sz w:val="22"/>
        </w:rPr>
        <w:t xml:space="preserve">. Notwithstanding anything to the contrary herein, no more than 19,500,096 Shares (as adjusted to reflect any Equity Restructuring) may be issued pursuant to the exercise of Incentive Stock Options. </w:t>
      </w:r>
    </w:p>
    <w:p>
      <w:pPr>
        <w:pStyle w:val="TextBody"/>
        <w:bidi w:val="0"/>
        <w:spacing w:lineRule="auto" w:line="288" w:before="0" w:after="240"/>
        <w:ind w:left="0" w:right="0" w:firstLine="720"/>
        <w:jc w:val="both"/>
        <w:rPr/>
      </w:pPr>
      <w:r>
        <w:rPr>
          <w:rFonts w:ascii="sans-serif" w:hAnsi="sans-serif"/>
          <w:b w:val="false"/>
          <w:color w:val="000000"/>
          <w:sz w:val="22"/>
        </w:rPr>
        <w:t>5.4    </w:t>
      </w:r>
      <w:r>
        <w:rPr>
          <w:rFonts w:ascii="sans-serif" w:hAnsi="sans-serif"/>
          <w:b w:val="false"/>
          <w:color w:val="000000"/>
          <w:sz w:val="22"/>
          <w:u w:val="single"/>
        </w:rPr>
        <w:t>Substitute Awards</w:t>
      </w:r>
      <w:r>
        <w:rPr>
          <w:rFonts w:ascii="sans-serif" w:hAnsi="sans-serif"/>
          <w:b w:val="false"/>
          <w:color w:val="000000"/>
          <w:sz w:val="22"/>
        </w:rPr>
        <w:t>.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pStyle w:val="TextBody"/>
        <w:bidi w:val="0"/>
        <w:spacing w:lineRule="auto" w:line="288" w:before="0" w:after="240"/>
        <w:ind w:left="0" w:right="0" w:firstLine="720"/>
        <w:jc w:val="both"/>
        <w:rPr/>
      </w:pPr>
      <w:r>
        <w:rPr>
          <w:rFonts w:ascii="sans-serif" w:hAnsi="sans-serif"/>
          <w:b w:val="false"/>
          <w:color w:val="000000"/>
          <w:sz w:val="22"/>
        </w:rPr>
        <w:t>5.5    </w:t>
      </w:r>
      <w:r>
        <w:rPr>
          <w:rFonts w:ascii="sans-serif" w:hAnsi="sans-serif"/>
          <w:b w:val="false"/>
          <w:color w:val="000000"/>
          <w:sz w:val="22"/>
          <w:u w:val="single"/>
        </w:rPr>
        <w:t>Non-Employee Director Award Limit</w:t>
      </w:r>
      <w:r>
        <w:rPr>
          <w:rFonts w:ascii="sans-serif" w:hAnsi="sans-serif"/>
          <w:b w:val="false"/>
          <w:color w:val="000000"/>
          <w:sz w:val="22"/>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under the Plan shall not exceed $1,000,000 for such Service Provider’s first year of service as a Non-Employee Director and $750,000 for each year thereafter.</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VI.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STOCK OPTIONS AND STOCK APPRECIATION RIGHTS</w:t>
      </w:r>
    </w:p>
    <w:p>
      <w:pPr>
        <w:pStyle w:val="TextBody"/>
        <w:bidi w:val="0"/>
        <w:spacing w:lineRule="auto" w:line="288" w:before="0" w:after="240"/>
        <w:ind w:left="0" w:right="0" w:firstLine="720"/>
        <w:jc w:val="both"/>
        <w:rPr/>
      </w:pPr>
      <w:r>
        <w:rPr>
          <w:rFonts w:ascii="sans-serif" w:hAnsi="sans-serif"/>
          <w:b w:val="false"/>
          <w:color w:val="000000"/>
          <w:sz w:val="22"/>
        </w:rPr>
        <w:t>6.1    </w:t>
      </w:r>
      <w:r>
        <w:rPr>
          <w:rFonts w:ascii="sans-serif" w:hAnsi="sans-serif"/>
          <w:b w:val="false"/>
          <w:color w:val="000000"/>
          <w:sz w:val="22"/>
          <w:u w:val="single"/>
        </w:rPr>
        <w:t>General</w:t>
      </w:r>
      <w:r>
        <w:rPr>
          <w:rFonts w:ascii="sans-serif" w:hAnsi="sans-serif"/>
          <w:b w:val="false"/>
          <w:color w:val="000000"/>
          <w:sz w:val="22"/>
        </w:rPr>
        <w:t xml:space="preserve">. The Administrator may grant Options or Stock Appreciation Rights to one or more Service Providers, subject to such terms and conditions not inconsistent with the Plan as the Administrator shall determine and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2560"/>
                <wp:effectExtent l="0" t="0" r="0" b="0"/>
                <wp:wrapNone/>
                <wp:docPr id="21" name="Frame1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 </w:t>
      </w:r>
    </w:p>
    <w:p>
      <w:pPr>
        <w:pStyle w:val="TextBody"/>
        <w:bidi w:val="0"/>
        <w:spacing w:lineRule="auto" w:line="288" w:before="0" w:after="240"/>
        <w:ind w:left="0" w:right="0" w:firstLine="720"/>
        <w:jc w:val="both"/>
        <w:rPr/>
      </w:pPr>
      <w:r>
        <w:rPr>
          <w:rFonts w:ascii="sans-serif" w:hAnsi="sans-serif"/>
          <w:b w:val="false"/>
          <w:color w:val="000000"/>
          <w:sz w:val="22"/>
        </w:rPr>
        <w:t>6.2    </w:t>
      </w:r>
      <w:r>
        <w:rPr>
          <w:rFonts w:ascii="sans-serif" w:hAnsi="sans-serif"/>
          <w:b w:val="false"/>
          <w:color w:val="000000"/>
          <w:sz w:val="22"/>
          <w:u w:val="single"/>
        </w:rPr>
        <w:t>Exercise Price</w:t>
      </w:r>
      <w:r>
        <w:rPr>
          <w:rFonts w:ascii="sans-serif" w:hAnsi="sans-serif"/>
          <w:b w:val="false"/>
          <w:color w:val="000000"/>
          <w:sz w:val="22"/>
        </w:rPr>
        <w:t xml:space="preserve">.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in the case of (i) an Option or Stock Appreciation Right granted to participates who are not taxpayers within the United States, and (ii) an Option or Stock Appreciation Right that is a Substitute Award, the exercise price per share of the Shares subject to such Option or Stock Appreciation Right, as applicable, may be less than the Fair Market Value per share on the date of grant; </w:t>
      </w:r>
      <w:r>
        <w:rPr>
          <w:rFonts w:ascii="sans-serif" w:hAnsi="sans-serif"/>
          <w:b w:val="false"/>
          <w:i/>
          <w:color w:val="000000"/>
          <w:sz w:val="22"/>
        </w:rPr>
        <w:t>provided</w:t>
      </w:r>
      <w:r>
        <w:rPr>
          <w:color w:val="000000"/>
        </w:rPr>
        <w:t xml:space="preserve"> </w:t>
      </w:r>
      <w:r>
        <w:rPr>
          <w:rFonts w:ascii="sans-serif" w:hAnsi="sans-serif"/>
          <w:b w:val="false"/>
          <w:color w:val="000000"/>
          <w:sz w:val="22"/>
        </w:rPr>
        <w:t xml:space="preserve">that the exercise price of any Substitute Award shall be determined in accordance with the applicable requirements of Sections 424 and 409A of the Code. </w:t>
      </w:r>
    </w:p>
    <w:p>
      <w:pPr>
        <w:pStyle w:val="TextBody"/>
        <w:bidi w:val="0"/>
        <w:spacing w:lineRule="auto" w:line="288" w:before="0" w:after="240"/>
        <w:ind w:left="0" w:right="0" w:firstLine="720"/>
        <w:jc w:val="both"/>
        <w:rPr/>
      </w:pPr>
      <w:r>
        <w:rPr>
          <w:rFonts w:ascii="sans-serif" w:hAnsi="sans-serif"/>
          <w:b w:val="false"/>
          <w:color w:val="000000"/>
          <w:sz w:val="22"/>
        </w:rPr>
        <w:t>6.3    </w:t>
      </w:r>
      <w:r>
        <w:rPr>
          <w:rFonts w:ascii="sans-serif" w:hAnsi="sans-serif"/>
          <w:b w:val="false"/>
          <w:color w:val="000000"/>
          <w:sz w:val="22"/>
          <w:u w:val="single"/>
        </w:rPr>
        <w:t>Duration of Options</w:t>
      </w:r>
      <w:r>
        <w:rPr>
          <w:rFonts w:ascii="sans-serif" w:hAnsi="sans-serif"/>
          <w:b w:val="false"/>
          <w:color w:val="000000"/>
          <w:sz w:val="22"/>
        </w:rPr>
        <w:t xml:space="preserve">.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 </w:t>
      </w:r>
    </w:p>
    <w:p>
      <w:pPr>
        <w:pStyle w:val="TextBody"/>
        <w:bidi w:val="0"/>
        <w:spacing w:lineRule="auto" w:line="288" w:before="0" w:after="240"/>
        <w:ind w:left="0" w:right="0" w:firstLine="720"/>
        <w:jc w:val="both"/>
        <w:rPr/>
      </w:pPr>
      <w:r>
        <w:rPr>
          <w:rFonts w:ascii="sans-serif" w:hAnsi="sans-serif"/>
          <w:b w:val="false"/>
          <w:color w:val="000000"/>
          <w:sz w:val="22"/>
        </w:rPr>
        <w:t>6.4    </w:t>
      </w:r>
      <w:r>
        <w:rPr>
          <w:rFonts w:ascii="sans-serif" w:hAnsi="sans-serif"/>
          <w:b w:val="false"/>
          <w:color w:val="000000"/>
          <w:sz w:val="22"/>
          <w:u w:val="single"/>
        </w:rPr>
        <w:t>Exercise</w:t>
      </w:r>
      <w:r>
        <w:rPr>
          <w:rFonts w:ascii="sans-serif" w:hAnsi="sans-serif"/>
          <w:b w:val="false"/>
          <w:color w:val="000000"/>
          <w:sz w:val="22"/>
        </w:rPr>
        <w:t xml:space="preserve">.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2560"/>
                <wp:effectExtent l="0" t="0" r="0" b="0"/>
                <wp:wrapNone/>
                <wp:docPr id="22" name="Frame2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6.5    </w:t>
      </w:r>
      <w:r>
        <w:rPr>
          <w:rFonts w:ascii="sans-serif" w:hAnsi="sans-serif"/>
          <w:b w:val="false"/>
          <w:color w:val="000000"/>
          <w:sz w:val="22"/>
          <w:u w:val="single"/>
        </w:rPr>
        <w:t>Payment Upon Exercise</w:t>
      </w:r>
      <w:r>
        <w:rPr>
          <w:rFonts w:ascii="sans-serif" w:hAnsi="sans-serif"/>
          <w:b w:val="false"/>
          <w:color w:val="000000"/>
          <w:sz w:val="22"/>
        </w:rPr>
        <w:t xml:space="preserve">. The Administrator shall determine the methods by which payment of the exercise price of an Option shall be made, including, without limitation: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(a)    Cash, check or wire transfer of immediately available funds; provided that the Company may limit the use of one of the foregoing methods if one or more of the methods below is permitted;</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(b)    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(c)    To the extent permitted by the Administrator, delivery (either by actual delivery or attestation) of Shares owned by the Participant valued at their fair market value on the date of delivery;</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(d)    To the extent permitted by the Administrator, surrendering Shares then issuable upon the Option’s exercise valued at their fair market value on the exercise date;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(e)    To the extent permitted by the Administrator, other than for Participants subject to Section 13(k) of the Exchange Act with respect to the Company or its Subsidiaries, delivery of a promissory note or any other lawful consideration; or</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(f)    To the extent permitted by the Administrator, any combination of the above payment forms.</w:t>
      </w:r>
    </w:p>
    <w:p>
      <w:pPr>
        <w:pStyle w:val="TextBody"/>
        <w:bidi w:val="0"/>
        <w:spacing w:lineRule="auto" w:line="288" w:before="0" w:after="240"/>
        <w:ind w:left="0" w:right="0" w:firstLine="720"/>
        <w:jc w:val="both"/>
        <w:rPr/>
      </w:pPr>
      <w:r>
        <w:rPr>
          <w:rFonts w:ascii="sans-serif" w:hAnsi="sans-serif"/>
          <w:b w:val="false"/>
          <w:color w:val="000000"/>
          <w:sz w:val="22"/>
        </w:rPr>
        <w:t>6.6    </w:t>
      </w:r>
      <w:r>
        <w:rPr>
          <w:rFonts w:ascii="sans-serif" w:hAnsi="sans-serif"/>
          <w:b w:val="false"/>
          <w:color w:val="000000"/>
          <w:sz w:val="22"/>
          <w:u w:val="single"/>
        </w:rPr>
        <w:t>Additional Terms of Incentive Stock Options</w:t>
      </w:r>
      <w:r>
        <w:rPr>
          <w:rFonts w:ascii="sans-serif" w:hAnsi="sans-serif"/>
          <w:b w:val="false"/>
          <w:color w:val="000000"/>
          <w:sz w:val="22"/>
        </w:rPr>
        <w:t xml:space="preserve">.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2560"/>
                <wp:effectExtent l="0" t="0" r="0" b="0"/>
                <wp:wrapNone/>
                <wp:docPr id="23" name="Frame2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having a fair market value exceeding the $100,000 limitation under Treasury Regulation Section 1.422-4, will be a Nonqualified Stock Option.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VII.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RESTRICTED STOCK; RESTRICTED STOCK UNITS</w:t>
      </w:r>
    </w:p>
    <w:p>
      <w:pPr>
        <w:pStyle w:val="TextBody"/>
        <w:bidi w:val="0"/>
        <w:spacing w:lineRule="auto" w:line="288" w:before="0" w:after="240"/>
        <w:ind w:left="0" w:right="0" w:firstLine="720"/>
        <w:jc w:val="both"/>
        <w:rPr/>
      </w:pPr>
      <w:r>
        <w:rPr>
          <w:rFonts w:ascii="sans-serif" w:hAnsi="sans-serif"/>
          <w:b w:val="false"/>
          <w:color w:val="000000"/>
          <w:sz w:val="22"/>
        </w:rPr>
        <w:t>7.1    </w:t>
      </w:r>
      <w:r>
        <w:rPr>
          <w:rFonts w:ascii="sans-serif" w:hAnsi="sans-serif"/>
          <w:b w:val="false"/>
          <w:color w:val="000000"/>
          <w:sz w:val="22"/>
          <w:u w:val="single"/>
        </w:rPr>
        <w:t>General</w:t>
      </w:r>
      <w:r>
        <w:rPr>
          <w:rFonts w:ascii="sans-serif" w:hAnsi="sans-serif"/>
          <w:b w:val="false"/>
          <w:color w:val="000000"/>
          <w:sz w:val="22"/>
        </w:rPr>
        <w:t xml:space="preserve">.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 </w:t>
      </w:r>
    </w:p>
    <w:p>
      <w:pPr>
        <w:pStyle w:val="TextBody"/>
        <w:bidi w:val="0"/>
        <w:spacing w:lineRule="auto" w:line="288" w:before="0" w:after="240"/>
        <w:ind w:left="0" w:right="0" w:firstLine="720"/>
        <w:jc w:val="both"/>
        <w:rPr/>
      </w:pPr>
      <w:r>
        <w:rPr>
          <w:rFonts w:ascii="sans-serif" w:hAnsi="sans-serif"/>
          <w:b w:val="false"/>
          <w:color w:val="000000"/>
          <w:sz w:val="22"/>
        </w:rPr>
        <w:t>7.2    </w:t>
      </w:r>
      <w:r>
        <w:rPr>
          <w:rFonts w:ascii="sans-serif" w:hAnsi="sans-serif"/>
          <w:b w:val="false"/>
          <w:color w:val="000000"/>
          <w:sz w:val="22"/>
          <w:u w:val="single"/>
        </w:rPr>
        <w:t>Restricted Stock</w:t>
      </w:r>
      <w:r>
        <w:rPr>
          <w:rFonts w:ascii="sans-serif" w:hAnsi="sans-serif"/>
          <w:b w:val="false"/>
          <w:color w:val="000000"/>
          <w:sz w:val="22"/>
        </w:rPr>
        <w:t>.</w:t>
      </w:r>
    </w:p>
    <w:p>
      <w:pPr>
        <w:pStyle w:val="TextBody"/>
        <w:bidi w:val="0"/>
        <w:spacing w:lineRule="auto" w:line="288" w:before="0" w:after="240"/>
        <w:ind w:left="0" w:right="0" w:firstLine="1440"/>
        <w:jc w:val="both"/>
        <w:rPr/>
      </w:pPr>
      <w:r>
        <w:rPr>
          <w:rFonts w:ascii="sans-serif" w:hAnsi="sans-serif"/>
          <w:b w:val="false"/>
          <w:color w:val="000000"/>
          <w:sz w:val="22"/>
        </w:rPr>
        <w:t>(a)    </w:t>
      </w:r>
      <w:r>
        <w:rPr>
          <w:rFonts w:ascii="sans-serif" w:hAnsi="sans-serif"/>
          <w:b w:val="false"/>
          <w:i/>
          <w:color w:val="000000"/>
          <w:sz w:val="22"/>
        </w:rPr>
        <w:t>Stockholder Rights</w:t>
      </w:r>
      <w:r>
        <w:rPr>
          <w:rFonts w:ascii="sans-serif" w:hAnsi="sans-serif"/>
          <w:b w:val="false"/>
          <w:color w:val="000000"/>
          <w:sz w:val="22"/>
        </w:rPr>
        <w:t xml:space="preserve">. Unless otherwise determined by the Administrator, each Participant holding Shares of Restricted Stock 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 All such dividends will be made no later than March 15 of the calendar year immediately following the calendar year in which the right to the dividend payments became nonforfeitable. </w:t>
      </w:r>
    </w:p>
    <w:p>
      <w:pPr>
        <w:pStyle w:val="TextBody"/>
        <w:bidi w:val="0"/>
        <w:spacing w:lineRule="auto" w:line="288" w:before="0" w:after="240"/>
        <w:ind w:left="0" w:right="0" w:firstLine="1440"/>
        <w:jc w:val="both"/>
        <w:rPr/>
      </w:pPr>
      <w:r>
        <w:rPr>
          <w:rFonts w:ascii="sans-serif" w:hAnsi="sans-serif"/>
          <w:b w:val="false"/>
          <w:color w:val="000000"/>
          <w:sz w:val="22"/>
        </w:rPr>
        <w:t>(b)    </w:t>
      </w:r>
      <w:r>
        <w:rPr>
          <w:rFonts w:ascii="sans-serif" w:hAnsi="sans-serif"/>
          <w:b w:val="false"/>
          <w:i/>
          <w:color w:val="000000"/>
          <w:sz w:val="22"/>
        </w:rPr>
        <w:t>Stock Certificates</w:t>
      </w:r>
      <w:r>
        <w:rPr>
          <w:rFonts w:ascii="sans-serif" w:hAnsi="sans-serif"/>
          <w:b w:val="false"/>
          <w:color w:val="000000"/>
          <w:sz w:val="22"/>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lineRule="auto" w:line="288" w:before="0" w:after="240"/>
        <w:ind w:left="0" w:right="0" w:firstLine="1440"/>
        <w:jc w:val="both"/>
        <w:rPr/>
      </w:pPr>
      <w:r>
        <w:rPr>
          <w:rFonts w:ascii="sans-serif" w:hAnsi="sans-serif"/>
          <w:b w:val="false"/>
          <w:color w:val="000000"/>
          <w:sz w:val="22"/>
        </w:rPr>
        <w:t>(c)    </w:t>
      </w:r>
      <w:r>
        <w:rPr>
          <w:rFonts w:ascii="sans-serif" w:hAnsi="sans-serif"/>
          <w:b w:val="false"/>
          <w:i/>
          <w:color w:val="000000"/>
          <w:sz w:val="22"/>
        </w:rPr>
        <w:t>Section 83(b) Election</w:t>
      </w:r>
      <w:r>
        <w:rPr>
          <w:rFonts w:ascii="sans-serif" w:hAnsi="sans-serif"/>
          <w:b w:val="false"/>
          <w:color w:val="000000"/>
          <w:sz w:val="22"/>
        </w:rPr>
        <w:t xml:space="preserve">. If a Participant makes an election under Section 83(b) of the Code to be taxed with respect to 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2560"/>
                <wp:effectExtent l="0" t="0" r="0" b="0"/>
                <wp:wrapNone/>
                <wp:docPr id="24" name="Frame2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12</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7.3    </w:t>
      </w:r>
      <w:r>
        <w:rPr>
          <w:rFonts w:ascii="sans-serif" w:hAnsi="sans-serif"/>
          <w:b w:val="false"/>
          <w:color w:val="000000"/>
          <w:sz w:val="22"/>
          <w:u w:val="single"/>
        </w:rPr>
        <w:t>Restricted Stock Units</w:t>
      </w:r>
      <w:r>
        <w:rPr>
          <w:rFonts w:ascii="sans-serif" w:hAnsi="sans-serif"/>
          <w:b w:val="false"/>
          <w:color w:val="000000"/>
          <w:sz w:val="22"/>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VIII.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 xml:space="preserve">OTHER TYPES OF AWARDS </w:t>
      </w:r>
    </w:p>
    <w:p>
      <w:pPr>
        <w:pStyle w:val="TextBody"/>
        <w:bidi w:val="0"/>
        <w:spacing w:lineRule="auto" w:line="288" w:before="0" w:after="240"/>
        <w:ind w:left="0" w:right="0" w:firstLine="720"/>
        <w:jc w:val="both"/>
        <w:rPr/>
      </w:pPr>
      <w:r>
        <w:rPr>
          <w:rFonts w:ascii="sans-serif" w:hAnsi="sans-serif"/>
          <w:b w:val="false"/>
          <w:color w:val="000000"/>
          <w:sz w:val="22"/>
        </w:rPr>
        <w:t>8.1    </w:t>
      </w:r>
      <w:r>
        <w:rPr>
          <w:rFonts w:ascii="sans-serif" w:hAnsi="sans-serif"/>
          <w:b w:val="false"/>
          <w:color w:val="000000"/>
          <w:sz w:val="22"/>
          <w:u w:val="single"/>
        </w:rPr>
        <w:t>General</w:t>
      </w:r>
      <w:r>
        <w:rPr>
          <w:rFonts w:ascii="sans-serif" w:hAnsi="sans-serif"/>
          <w:b w:val="false"/>
          <w:color w:val="000000"/>
          <w:sz w:val="22"/>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pStyle w:val="TextBody"/>
        <w:bidi w:val="0"/>
        <w:spacing w:lineRule="auto" w:line="288" w:before="0" w:after="240"/>
        <w:ind w:left="0" w:right="0" w:firstLine="720"/>
        <w:jc w:val="both"/>
        <w:rPr/>
      </w:pPr>
      <w:r>
        <w:rPr>
          <w:rFonts w:ascii="sans-serif" w:hAnsi="sans-serif"/>
          <w:b w:val="false"/>
          <w:color w:val="000000"/>
          <w:sz w:val="22"/>
        </w:rPr>
        <w:t>8.2    </w:t>
      </w:r>
      <w:r>
        <w:rPr>
          <w:rFonts w:ascii="sans-serif" w:hAnsi="sans-serif"/>
          <w:b w:val="false"/>
          <w:color w:val="000000"/>
          <w:sz w:val="22"/>
          <w:u w:val="single"/>
        </w:rPr>
        <w:t>Performance Stock Unit Awards</w:t>
      </w:r>
      <w:r>
        <w:rPr>
          <w:rFonts w:ascii="sans-serif" w:hAnsi="sans-serif"/>
          <w:b w:val="false"/>
          <w:color w:val="000000"/>
          <w:sz w:val="22"/>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pStyle w:val="TextBody"/>
        <w:bidi w:val="0"/>
        <w:spacing w:lineRule="auto" w:line="288" w:before="0" w:after="240"/>
        <w:ind w:left="0" w:right="0" w:firstLine="720"/>
        <w:jc w:val="both"/>
        <w:rPr/>
      </w:pPr>
      <w:r>
        <w:rPr>
          <w:rFonts w:ascii="sans-serif" w:hAnsi="sans-serif"/>
          <w:b w:val="false"/>
          <w:color w:val="000000"/>
          <w:sz w:val="22"/>
        </w:rPr>
        <w:t>8.3    </w:t>
      </w:r>
      <w:r>
        <w:rPr>
          <w:rFonts w:ascii="sans-serif" w:hAnsi="sans-serif"/>
          <w:b w:val="false"/>
          <w:color w:val="000000"/>
          <w:sz w:val="22"/>
          <w:u w:val="single"/>
        </w:rPr>
        <w:t>Performance Bonus Awards</w:t>
      </w:r>
      <w:r>
        <w:rPr>
          <w:rFonts w:ascii="sans-serif" w:hAnsi="sans-serif"/>
          <w:b w:val="false"/>
          <w:color w:val="000000"/>
          <w:sz w:val="22"/>
        </w:rPr>
        <w:t>. Each right to receive a bonus granted under this Section 8.3 shall be denominated in the form of cash (but may be payable in cash, stock or a combination thereof) (a “</w:t>
      </w:r>
      <w:r>
        <w:rPr>
          <w:rFonts w:ascii="sans-serif" w:hAnsi="sans-serif"/>
          <w:b/>
          <w:i/>
          <w:color w:val="000000"/>
          <w:sz w:val="22"/>
        </w:rPr>
        <w:t>Performance Bonus Award</w:t>
      </w:r>
      <w:r>
        <w:rPr>
          <w:color w:val="000000"/>
        </w:rPr>
        <w:t>”</w:t>
      </w:r>
      <w:r>
        <w:rPr>
          <w:rFonts w:ascii="sans-serif" w:hAnsi="sans-serif"/>
          <w:b w:val="false"/>
          <w:color w:val="000000"/>
          <w:sz w:val="22"/>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pStyle w:val="TextBody"/>
        <w:bidi w:val="0"/>
        <w:spacing w:lineRule="auto" w:line="288" w:before="0" w:after="240"/>
        <w:ind w:left="0" w:right="0" w:firstLine="720"/>
        <w:jc w:val="both"/>
        <w:rPr/>
      </w:pPr>
      <w:r>
        <w:rPr>
          <w:rFonts w:ascii="sans-serif" w:hAnsi="sans-serif"/>
          <w:b w:val="false"/>
          <w:color w:val="000000"/>
          <w:sz w:val="22"/>
        </w:rPr>
        <w:t>8.4    </w:t>
      </w:r>
      <w:r>
        <w:rPr>
          <w:rFonts w:ascii="sans-serif" w:hAnsi="sans-serif"/>
          <w:b w:val="false"/>
          <w:color w:val="000000"/>
          <w:sz w:val="22"/>
          <w:u w:val="single"/>
        </w:rPr>
        <w:t>Dividend Equivalents</w:t>
      </w:r>
      <w:r>
        <w:rPr>
          <w:rFonts w:ascii="sans-serif" w:hAnsi="sans-serif"/>
          <w:b w:val="false"/>
          <w:color w:val="000000"/>
          <w:sz w:val="22"/>
        </w:rPr>
        <w:t xml:space="preserve">.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no later than March 15 of the calendar year immediately following the calendar year in which the right to the Dividend Equivalent payments became nonforfeitable unless otherwise determined by the Administrator or unless deferred in a manner intended to comply with Section 409A. </w:t>
      </w:r>
    </w:p>
    <w:p>
      <w:pPr>
        <w:pStyle w:val="TextBody"/>
        <w:bidi w:val="0"/>
        <w:spacing w:lineRule="auto" w:line="288" w:before="0" w:after="240"/>
        <w:ind w:left="0" w:right="0" w:firstLine="720"/>
        <w:jc w:val="both"/>
        <w:rPr/>
      </w:pPr>
      <w:r>
        <w:rPr>
          <w:rFonts w:ascii="sans-serif" w:hAnsi="sans-serif"/>
          <w:b w:val="false"/>
          <w:color w:val="000000"/>
          <w:sz w:val="22"/>
        </w:rPr>
        <w:t>8.5    </w:t>
      </w:r>
      <w:r>
        <w:rPr>
          <w:rFonts w:ascii="sans-serif" w:hAnsi="sans-serif"/>
          <w:b w:val="false"/>
          <w:color w:val="000000"/>
          <w:sz w:val="22"/>
          <w:u w:val="single"/>
        </w:rPr>
        <w:t>Other Stock or Cash Based Awards</w:t>
      </w:r>
      <w:r>
        <w:rPr>
          <w:rFonts w:ascii="sans-serif" w:hAnsi="sans-serif"/>
          <w:b w:val="false"/>
          <w:color w:val="000000"/>
          <w:sz w:val="22"/>
        </w:rPr>
        <w:t xml:space="preserve">.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2560"/>
                <wp:effectExtent l="0" t="0" r="0" b="0"/>
                <wp:wrapNone/>
                <wp:docPr id="25" name="Frame2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13</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Such Other Stock or Cash Based Awards will also be available as a payment form in the settlement of other Awards, as standalone payments and as payment in lieu of compensation to which a Participant is otherwise entitled, subject to compliance with, or an exemption from,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 </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IX.</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 xml:space="preserve">ADJUSTMENTS FOR CHANGES IN COMMON STOCK </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AND CERTAIN OTHER EVENTS</w:t>
      </w:r>
    </w:p>
    <w:p>
      <w:pPr>
        <w:pStyle w:val="TextBody"/>
        <w:bidi w:val="0"/>
        <w:spacing w:lineRule="auto" w:line="288" w:before="0" w:after="240"/>
        <w:ind w:left="0" w:right="0" w:firstLine="720"/>
        <w:jc w:val="both"/>
        <w:rPr/>
      </w:pPr>
      <w:r>
        <w:rPr>
          <w:rFonts w:ascii="sans-serif" w:hAnsi="sans-serif"/>
          <w:b w:val="false"/>
          <w:color w:val="000000"/>
          <w:sz w:val="22"/>
        </w:rPr>
        <w:t>9.1    </w:t>
      </w:r>
      <w:r>
        <w:rPr>
          <w:rFonts w:ascii="sans-serif" w:hAnsi="sans-serif"/>
          <w:b w:val="false"/>
          <w:color w:val="000000"/>
          <w:sz w:val="22"/>
          <w:u w:val="single"/>
        </w:rPr>
        <w:t>Equity Restructuring</w:t>
      </w:r>
      <w:r>
        <w:rPr>
          <w:rFonts w:ascii="sans-serif" w:hAnsi="sans-serif"/>
          <w:b w:val="false"/>
          <w:color w:val="000000"/>
          <w:sz w:val="22"/>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pStyle w:val="TextBody"/>
        <w:bidi w:val="0"/>
        <w:spacing w:lineRule="auto" w:line="288" w:before="0" w:after="240"/>
        <w:ind w:left="0" w:right="0" w:firstLine="720"/>
        <w:jc w:val="both"/>
        <w:rPr/>
      </w:pPr>
      <w:r>
        <w:rPr>
          <w:rFonts w:ascii="sans-serif" w:hAnsi="sans-serif"/>
          <w:b w:val="false"/>
          <w:color w:val="000000"/>
          <w:sz w:val="22"/>
        </w:rPr>
        <w:t>9.2    </w:t>
      </w:r>
      <w:r>
        <w:rPr>
          <w:rFonts w:ascii="sans-serif" w:hAnsi="sans-serif"/>
          <w:b w:val="false"/>
          <w:color w:val="000000"/>
          <w:sz w:val="22"/>
          <w:u w:val="single"/>
        </w:rPr>
        <w:t>Corporate Transactions</w:t>
      </w:r>
      <w:r>
        <w:rPr>
          <w:rFonts w:ascii="sans-serif" w:hAnsi="sans-serif"/>
          <w:b w:val="false"/>
          <w:color w:val="000000"/>
          <w:sz w:val="22"/>
        </w:rPr>
        <w:t xml:space="preserve">.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2560"/>
                <wp:effectExtent l="0" t="0" r="0" b="0"/>
                <wp:wrapNone/>
                <wp:docPr id="26" name="Frame2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14</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To provide that such Award shall vest and, to the extent applicable, be exercisable as to all Shares (or other property) covered thereby, notwithstanding anything to the contrary in the Plan or the provisions of such Award;</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(c)    To provide that such Award be assumed by the successor or survivor corporation or entity, or a parent or subsidiary thereof, or shall be substituted for by awards covering the stock of the successor or survivor corporation or entity, or a parent or subsidiary thereof, or equivalent value thereof in cash, with appropriate adjustments as to the number and kind of shares and applicable exercise or purchase price, in all cases, as determined by the Administrator;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(d)    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or applicable performance goals), and the criteria included in, outstanding Awards;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(e)    To replace such Award with other rights or property selected by the Administrator; or</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(f)    To provide that the Award will terminate and cannot vest, be exercised or become payable after the applicable event.</w:t>
      </w:r>
    </w:p>
    <w:p>
      <w:pPr>
        <w:pStyle w:val="TextBody"/>
        <w:bidi w:val="0"/>
        <w:spacing w:lineRule="auto" w:line="288" w:before="0" w:after="240"/>
        <w:ind w:left="0" w:right="0" w:firstLine="720"/>
        <w:jc w:val="both"/>
        <w:rPr/>
      </w:pPr>
      <w:r>
        <w:rPr>
          <w:rFonts w:ascii="sans-serif" w:hAnsi="sans-serif"/>
          <w:b w:val="false"/>
          <w:color w:val="000000"/>
          <w:sz w:val="22"/>
        </w:rPr>
        <w:t>9.3    </w:t>
      </w:r>
      <w:r>
        <w:rPr>
          <w:rFonts w:ascii="sans-serif" w:hAnsi="sans-serif"/>
          <w:b w:val="false"/>
          <w:color w:val="000000"/>
          <w:sz w:val="22"/>
          <w:u w:val="single"/>
        </w:rPr>
        <w:t>Change in Control</w:t>
      </w:r>
      <w:r>
        <w:rPr>
          <w:rFonts w:ascii="sans-serif" w:hAnsi="sans-serif"/>
          <w:b w:val="false"/>
          <w:color w:val="000000"/>
          <w:sz w:val="22"/>
        </w:rPr>
        <w:t xml:space="preserv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Notwithstanding any other provision of the Plan, in the event of a Change in Control, unless the Administrator elects to (i) terminate an Award (after giving effect to any acceleration, including as set forth herein),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w:t>
      </w:r>
    </w:p>
    <w:p>
      <w:pPr>
        <w:pStyle w:val="TextBody"/>
        <w:bidi w:val="0"/>
        <w:spacing w:lineRule="auto" w:line="288" w:before="0" w:after="240"/>
        <w:ind w:left="0" w:right="0" w:firstLine="1440"/>
        <w:jc w:val="both"/>
        <w:rPr/>
      </w:pPr>
      <w:r>
        <w:rPr>
          <w:rFonts w:ascii="sans-serif" w:hAnsi="sans-serif"/>
          <w:b w:val="false"/>
          <w:color w:val="000000"/>
          <w:sz w:val="22"/>
        </w:rPr>
        <w:t>(b)    </w:t>
      </w:r>
      <w:r>
        <w:rPr>
          <w:rFonts w:ascii="sans-serif" w:hAnsi="sans-serif"/>
          <w:b w:val="false"/>
          <w:color w:val="000000"/>
          <w:sz w:val="22"/>
          <w:u w:val="single"/>
        </w:rPr>
        <w:t>Administrative Stand Still</w:t>
      </w:r>
      <w:r>
        <w:rPr>
          <w:rFonts w:ascii="sans-serif" w:hAnsi="sans-serif"/>
          <w:b w:val="false"/>
          <w:color w:val="000000"/>
          <w:sz w:val="22"/>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pStyle w:val="TextBody"/>
        <w:bidi w:val="0"/>
        <w:spacing w:lineRule="auto" w:line="288" w:before="0" w:after="240"/>
        <w:ind w:left="0" w:right="0" w:firstLine="720"/>
        <w:jc w:val="both"/>
        <w:rPr/>
      </w:pPr>
      <w:r>
        <w:rPr>
          <w:rFonts w:ascii="sans-serif" w:hAnsi="sans-serif"/>
          <w:b w:val="false"/>
          <w:color w:val="000000"/>
          <w:sz w:val="22"/>
        </w:rPr>
        <w:t>9.4    </w:t>
      </w:r>
      <w:r>
        <w:rPr>
          <w:rFonts w:ascii="sans-serif" w:hAnsi="sans-serif"/>
          <w:b w:val="false"/>
          <w:color w:val="000000"/>
          <w:sz w:val="22"/>
          <w:u w:val="single"/>
        </w:rPr>
        <w:t>General</w:t>
      </w:r>
      <w:r>
        <w:rPr>
          <w:rFonts w:ascii="sans-serif" w:hAnsi="sans-serif"/>
          <w:b w:val="false"/>
          <w:color w:val="000000"/>
          <w:sz w:val="22"/>
        </w:rPr>
        <w:t xml:space="preserve">. Except as expressly provided in the Plan or the Administrator’s action under the Plan, no Participant will have any rights due to any subdivision or consolidation of Shares of any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2560"/>
                <wp:effectExtent l="0" t="0" r="0" b="0"/>
                <wp:wrapNone/>
                <wp:docPr id="27" name="Frame2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15</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IX.</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 xml:space="preserve">PROVISIONS APPLICABLE TO AWARDS </w:t>
      </w:r>
    </w:p>
    <w:p>
      <w:pPr>
        <w:pStyle w:val="TextBody"/>
        <w:bidi w:val="0"/>
        <w:spacing w:lineRule="auto" w:line="288" w:before="0" w:after="240"/>
        <w:ind w:left="0" w:right="0" w:firstLine="720"/>
        <w:jc w:val="both"/>
        <w:rPr/>
      </w:pPr>
      <w:r>
        <w:rPr>
          <w:rFonts w:ascii="sans-serif" w:hAnsi="sans-serif"/>
          <w:b w:val="false"/>
          <w:color w:val="000000"/>
          <w:sz w:val="22"/>
        </w:rPr>
        <w:t>10.1    </w:t>
      </w:r>
      <w:r>
        <w:rPr>
          <w:rFonts w:ascii="sans-serif" w:hAnsi="sans-serif"/>
          <w:b w:val="false"/>
          <w:color w:val="000000"/>
          <w:sz w:val="22"/>
          <w:u w:val="single"/>
        </w:rPr>
        <w:t>Transferability</w:t>
      </w:r>
      <w:r>
        <w:rPr>
          <w:rFonts w:ascii="sans-serif" w:hAnsi="sans-serif"/>
          <w:b w:val="false"/>
          <w:color w:val="000000"/>
          <w:sz w:val="22"/>
        </w:rPr>
        <w:t xml:space="preserv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(b)    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2560"/>
                <wp:effectExtent l="0" t="0" r="0" b="0"/>
                <wp:wrapNone/>
                <wp:docPr id="28" name="Frame2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16</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of the Code and other Applicable Law, the Participant is considered the sole beneficial owner of the Incentive Stock Option while it is held in the trust.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(c)    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pStyle w:val="TextBody"/>
        <w:bidi w:val="0"/>
        <w:spacing w:lineRule="auto" w:line="288" w:before="0" w:after="240"/>
        <w:ind w:left="0" w:right="0" w:firstLine="720"/>
        <w:jc w:val="both"/>
        <w:rPr/>
      </w:pPr>
      <w:r>
        <w:rPr>
          <w:rFonts w:ascii="sans-serif" w:hAnsi="sans-serif"/>
          <w:b w:val="false"/>
          <w:color w:val="000000"/>
          <w:sz w:val="22"/>
        </w:rPr>
        <w:t>10.2    </w:t>
      </w:r>
      <w:r>
        <w:rPr>
          <w:rFonts w:ascii="sans-serif" w:hAnsi="sans-serif"/>
          <w:b w:val="false"/>
          <w:color w:val="000000"/>
          <w:sz w:val="22"/>
          <w:u w:val="single"/>
        </w:rPr>
        <w:t>Documentation</w:t>
      </w:r>
      <w:r>
        <w:rPr>
          <w:rFonts w:ascii="sans-serif" w:hAnsi="sans-serif"/>
          <w:b w:val="false"/>
          <w:color w:val="000000"/>
          <w:sz w:val="22"/>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 </w:t>
      </w:r>
    </w:p>
    <w:p>
      <w:pPr>
        <w:pStyle w:val="TextBody"/>
        <w:bidi w:val="0"/>
        <w:spacing w:lineRule="auto" w:line="288" w:before="0" w:after="240"/>
        <w:ind w:left="0" w:right="0" w:firstLine="720"/>
        <w:jc w:val="both"/>
        <w:rPr/>
      </w:pPr>
      <w:r>
        <w:rPr>
          <w:rFonts w:ascii="sans-serif" w:hAnsi="sans-serif"/>
          <w:b w:val="false"/>
          <w:color w:val="000000"/>
          <w:sz w:val="22"/>
        </w:rPr>
        <w:t>10.3    </w:t>
      </w:r>
      <w:r>
        <w:rPr>
          <w:rFonts w:ascii="sans-serif" w:hAnsi="sans-serif"/>
          <w:b w:val="false"/>
          <w:color w:val="000000"/>
          <w:sz w:val="22"/>
          <w:u w:val="single"/>
        </w:rPr>
        <w:t>Discretion</w:t>
      </w:r>
      <w:r>
        <w:rPr>
          <w:rFonts w:ascii="sans-serif" w:hAnsi="sans-serif"/>
          <w:b w:val="false"/>
          <w:color w:val="000000"/>
          <w:sz w:val="22"/>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lineRule="auto" w:line="288" w:before="0" w:after="240"/>
        <w:ind w:left="0" w:right="0" w:firstLine="720"/>
        <w:jc w:val="both"/>
        <w:rPr/>
      </w:pPr>
      <w:r>
        <w:rPr>
          <w:rFonts w:ascii="sans-serif" w:hAnsi="sans-serif"/>
          <w:b w:val="false"/>
          <w:color w:val="000000"/>
          <w:sz w:val="22"/>
        </w:rPr>
        <w:t>10.4    </w:t>
      </w:r>
      <w:r>
        <w:rPr>
          <w:rFonts w:ascii="sans-serif" w:hAnsi="sans-serif"/>
          <w:b w:val="false"/>
          <w:color w:val="000000"/>
          <w:sz w:val="22"/>
          <w:u w:val="single"/>
        </w:rPr>
        <w:t>Changes in Participant’s Status</w:t>
      </w:r>
      <w:r>
        <w:rPr>
          <w:rFonts w:ascii="sans-serif" w:hAnsi="sans-serif"/>
          <w:b w:val="false"/>
          <w:color w:val="000000"/>
          <w:sz w:val="22"/>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pStyle w:val="TextBody"/>
        <w:bidi w:val="0"/>
        <w:spacing w:lineRule="auto" w:line="288" w:before="0" w:after="240"/>
        <w:ind w:left="0" w:right="0" w:firstLine="720"/>
        <w:jc w:val="both"/>
        <w:rPr/>
      </w:pPr>
      <w:r>
        <w:rPr>
          <w:rFonts w:ascii="sans-serif" w:hAnsi="sans-serif"/>
          <w:b w:val="false"/>
          <w:color w:val="000000"/>
          <w:sz w:val="22"/>
        </w:rPr>
        <w:t>10.5    </w:t>
      </w:r>
      <w:r>
        <w:rPr>
          <w:rFonts w:ascii="sans-serif" w:hAnsi="sans-serif"/>
          <w:b w:val="false"/>
          <w:color w:val="000000"/>
          <w:sz w:val="22"/>
          <w:u w:val="single"/>
        </w:rPr>
        <w:t>Withholding</w:t>
      </w:r>
      <w:r>
        <w:rPr>
          <w:rFonts w:ascii="sans-serif" w:hAnsi="sans-serif"/>
          <w:b w:val="false"/>
          <w:color w:val="000000"/>
          <w:sz w:val="22"/>
        </w:rPr>
        <w:t xml:space="preserve">. Each Participant must pay the Company or a Subsidiary or other Participant’s employing company,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2560"/>
                <wp:effectExtent l="0" t="0" r="0" b="0"/>
                <wp:wrapNone/>
                <wp:docPr id="29" name="Frame2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17</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pStyle w:val="TextBody"/>
        <w:bidi w:val="0"/>
        <w:spacing w:lineRule="auto" w:line="288" w:before="0" w:after="240"/>
        <w:ind w:left="0" w:right="0" w:firstLine="720"/>
        <w:jc w:val="both"/>
        <w:rPr/>
      </w:pPr>
      <w:r>
        <w:rPr>
          <w:rFonts w:ascii="sans-serif" w:hAnsi="sans-serif"/>
          <w:b w:val="false"/>
          <w:color w:val="000000"/>
          <w:sz w:val="22"/>
        </w:rPr>
        <w:t>10.6    </w:t>
      </w:r>
      <w:r>
        <w:rPr>
          <w:rFonts w:ascii="sans-serif" w:hAnsi="sans-serif"/>
          <w:b w:val="false"/>
          <w:color w:val="000000"/>
          <w:sz w:val="22"/>
          <w:u w:val="single"/>
        </w:rPr>
        <w:t>Amendment of Award; Repricing</w:t>
      </w:r>
      <w:r>
        <w:rPr>
          <w:rFonts w:ascii="sans-serif" w:hAnsi="sans-serif"/>
          <w:b w:val="false"/>
          <w:color w:val="000000"/>
          <w:sz w:val="22"/>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IX or pursuant to Section 11.6. In addition, the Administrator shall, without the approval of the stockholders of the Company, have the authority to (i) amend any outstanding Option or Stock Appreciation Right to reduce its exercise price per Share or (ii) cancel any Option or Stock Appreciation Right in exchange for cash or another Award.</w:t>
      </w:r>
    </w:p>
    <w:p>
      <w:pPr>
        <w:pStyle w:val="TextBody"/>
        <w:bidi w:val="0"/>
        <w:spacing w:lineRule="auto" w:line="288" w:before="0" w:after="240"/>
        <w:ind w:left="0" w:right="0" w:firstLine="720"/>
        <w:jc w:val="both"/>
        <w:rPr/>
      </w:pPr>
      <w:r>
        <w:rPr>
          <w:rFonts w:ascii="sans-serif" w:hAnsi="sans-serif"/>
          <w:b w:val="false"/>
          <w:color w:val="000000"/>
          <w:sz w:val="22"/>
        </w:rPr>
        <w:t>10.7    </w:t>
      </w:r>
      <w:r>
        <w:rPr>
          <w:rFonts w:ascii="sans-serif" w:hAnsi="sans-serif"/>
          <w:b w:val="false"/>
          <w:color w:val="000000"/>
          <w:sz w:val="22"/>
          <w:u w:val="single"/>
        </w:rPr>
        <w:t>Conditions on Delivery of Stock</w:t>
      </w:r>
      <w:r>
        <w:rPr>
          <w:rFonts w:ascii="sans-serif" w:hAnsi="sans-serif"/>
          <w:b w:val="false"/>
          <w:color w:val="000000"/>
          <w:sz w:val="22"/>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pStyle w:val="TextBody"/>
        <w:bidi w:val="0"/>
        <w:spacing w:lineRule="auto" w:line="288" w:before="0" w:after="240"/>
        <w:ind w:left="0" w:right="0" w:firstLine="720"/>
        <w:jc w:val="both"/>
        <w:rPr/>
      </w:pPr>
      <w:r>
        <w:rPr>
          <w:rFonts w:ascii="sans-serif" w:hAnsi="sans-serif"/>
          <w:b w:val="false"/>
          <w:color w:val="000000"/>
          <w:sz w:val="22"/>
        </w:rPr>
        <w:t>10.8    </w:t>
      </w:r>
      <w:r>
        <w:rPr>
          <w:rFonts w:ascii="sans-serif" w:hAnsi="sans-serif"/>
          <w:b w:val="false"/>
          <w:color w:val="000000"/>
          <w:sz w:val="22"/>
          <w:u w:val="single"/>
        </w:rPr>
        <w:t>Acceleration</w:t>
      </w:r>
      <w:r>
        <w:rPr>
          <w:rFonts w:ascii="sans-serif" w:hAnsi="sans-serif"/>
          <w:b w:val="false"/>
          <w:color w:val="000000"/>
          <w:sz w:val="22"/>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 xml:space="preserve">MISCELLANEOUS </w:t>
      </w:r>
    </w:p>
    <w:p>
      <w:pPr>
        <w:pStyle w:val="TextBody"/>
        <w:bidi w:val="0"/>
        <w:spacing w:lineRule="auto" w:line="288" w:before="0" w:after="240"/>
        <w:ind w:left="0" w:right="0" w:firstLine="720"/>
        <w:jc w:val="both"/>
        <w:rPr/>
      </w:pPr>
      <w:r>
        <w:rPr>
          <w:rFonts w:ascii="sans-serif" w:hAnsi="sans-serif"/>
          <w:b w:val="false"/>
          <w:color w:val="000000"/>
          <w:sz w:val="22"/>
        </w:rPr>
        <w:t>11.1    </w:t>
      </w:r>
      <w:r>
        <w:rPr>
          <w:rFonts w:ascii="sans-serif" w:hAnsi="sans-serif"/>
          <w:b w:val="false"/>
          <w:color w:val="000000"/>
          <w:sz w:val="22"/>
          <w:u w:val="single"/>
        </w:rPr>
        <w:t>No Right to Employment or Other Status</w:t>
      </w:r>
      <w:r>
        <w:rPr>
          <w:rFonts w:ascii="sans-serif" w:hAnsi="sans-serif"/>
          <w:b w:val="false"/>
          <w:color w:val="000000"/>
          <w:sz w:val="22"/>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2560"/>
                <wp:effectExtent l="0" t="0" r="0" b="0"/>
                <wp:wrapNone/>
                <wp:docPr id="30" name="Frame2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11.2    </w:t>
      </w:r>
      <w:r>
        <w:rPr>
          <w:rFonts w:ascii="sans-serif" w:hAnsi="sans-serif"/>
          <w:b w:val="false"/>
          <w:color w:val="000000"/>
          <w:sz w:val="22"/>
          <w:u w:val="single"/>
        </w:rPr>
        <w:t>No Rights as Stockholder; Certificates</w:t>
      </w:r>
      <w:r>
        <w:rPr>
          <w:rFonts w:ascii="sans-serif" w:hAnsi="sans-serif"/>
          <w:b w:val="false"/>
          <w:color w:val="000000"/>
          <w:sz w:val="22"/>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pStyle w:val="TextBody"/>
        <w:bidi w:val="0"/>
        <w:spacing w:lineRule="auto" w:line="288" w:before="0" w:after="240"/>
        <w:ind w:left="0" w:right="0" w:firstLine="720"/>
        <w:jc w:val="both"/>
        <w:rPr/>
      </w:pPr>
      <w:r>
        <w:rPr>
          <w:rFonts w:ascii="sans-serif" w:hAnsi="sans-serif"/>
          <w:b w:val="false"/>
          <w:color w:val="000000"/>
          <w:sz w:val="22"/>
        </w:rPr>
        <w:t>11.3    </w:t>
      </w:r>
      <w:r>
        <w:rPr>
          <w:rFonts w:ascii="sans-serif" w:hAnsi="sans-serif"/>
          <w:b w:val="false"/>
          <w:color w:val="000000"/>
          <w:sz w:val="22"/>
          <w:u w:val="single"/>
        </w:rPr>
        <w:t>Effective Date</w:t>
      </w:r>
      <w:r>
        <w:rPr>
          <w:rFonts w:ascii="sans-serif" w:hAnsi="sans-serif"/>
          <w:b w:val="false"/>
          <w:color w:val="000000"/>
          <w:sz w:val="22"/>
        </w:rPr>
        <w:t>. The Plan was approved by the Board on May 20, 2026. The Plan will become effective on the date immediately prior to the date the Company’s registration statement relating to its initial public offering becomes effective (the “</w:t>
      </w:r>
      <w:r>
        <w:rPr>
          <w:rFonts w:ascii="sans-serif" w:hAnsi="sans-serif"/>
          <w:b/>
          <w:i/>
          <w:color w:val="000000"/>
          <w:sz w:val="22"/>
        </w:rPr>
        <w:t>Effective Date</w:t>
      </w:r>
      <w:r>
        <w:rPr>
          <w:color w:val="000000"/>
        </w:rPr>
        <w:t>”</w:t>
      </w:r>
      <w:r>
        <w:rPr>
          <w:rFonts w:ascii="sans-serif" w:hAnsi="sans-serif"/>
          <w:b w:val="false"/>
          <w:color w:val="000000"/>
          <w:sz w:val="22"/>
        </w:rPr>
        <w:t xml:space="preserve">), provided that it is approved by the Company’s stockholders prior to such date and occurring within 12 months following the date the Board approved the Plan. If the Plan is not approved by the Company’s stockholders within the foregoing time frame, the Plan will not become effective. No Incentive Stock Option may be granted pursuant to the Plan after the tenth anniversary of the earlier of (a) the date the Plan was approved by the Board or (b) the date the Plan was approved by the Company’s stockholders. </w:t>
      </w:r>
    </w:p>
    <w:p>
      <w:pPr>
        <w:pStyle w:val="TextBody"/>
        <w:bidi w:val="0"/>
        <w:spacing w:lineRule="auto" w:line="288" w:before="0" w:after="240"/>
        <w:ind w:left="0" w:right="0" w:firstLine="720"/>
        <w:jc w:val="both"/>
        <w:rPr/>
      </w:pPr>
      <w:r>
        <w:rPr>
          <w:rFonts w:ascii="sans-serif" w:hAnsi="sans-serif"/>
          <w:b w:val="false"/>
          <w:color w:val="000000"/>
          <w:sz w:val="22"/>
        </w:rPr>
        <w:t>11.4    </w:t>
      </w:r>
      <w:r>
        <w:rPr>
          <w:rFonts w:ascii="sans-serif" w:hAnsi="sans-serif"/>
          <w:b w:val="false"/>
          <w:color w:val="000000"/>
          <w:sz w:val="22"/>
          <w:u w:val="single"/>
        </w:rPr>
        <w:t>Amendment of Plan</w:t>
      </w:r>
      <w:r>
        <w:rPr>
          <w:rFonts w:ascii="sans-serif" w:hAnsi="sans-serif"/>
          <w:b w:val="false"/>
          <w:color w:val="000000"/>
          <w:sz w:val="22"/>
        </w:rPr>
        <w:t xml:space="preserve">. The Board may amend, suspend or terminate the Plan at any time and from time to time; provided that (a) 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each as in effect before such suspension or termination. The Board will obtain stockholder approval of any Plan amendment to the extent necessary to comply with Applicable Law. </w:t>
      </w:r>
    </w:p>
    <w:p>
      <w:pPr>
        <w:pStyle w:val="TextBody"/>
        <w:bidi w:val="0"/>
        <w:spacing w:lineRule="auto" w:line="288" w:before="0" w:after="240"/>
        <w:ind w:left="0" w:right="0" w:firstLine="720"/>
        <w:jc w:val="both"/>
        <w:rPr/>
      </w:pPr>
      <w:r>
        <w:rPr>
          <w:rFonts w:ascii="sans-serif" w:hAnsi="sans-serif"/>
          <w:b w:val="false"/>
          <w:color w:val="000000"/>
          <w:sz w:val="22"/>
        </w:rPr>
        <w:t>11.5    </w:t>
      </w:r>
      <w:r>
        <w:rPr>
          <w:rFonts w:ascii="sans-serif" w:hAnsi="sans-serif"/>
          <w:b w:val="false"/>
          <w:color w:val="000000"/>
          <w:sz w:val="22"/>
          <w:u w:val="single"/>
        </w:rPr>
        <w:t>Provisions for Foreign Participants</w:t>
      </w:r>
      <w:r>
        <w:rPr>
          <w:rFonts w:ascii="sans-serif" w:hAnsi="sans-serif"/>
          <w:b w:val="false"/>
          <w:color w:val="000000"/>
          <w:sz w:val="22"/>
        </w:rPr>
        <w:t xml:space="preserve">.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 </w:t>
      </w:r>
    </w:p>
    <w:p>
      <w:pPr>
        <w:pStyle w:val="TextBody"/>
        <w:bidi w:val="0"/>
        <w:spacing w:lineRule="auto" w:line="288" w:before="0" w:after="240"/>
        <w:ind w:left="0" w:right="0" w:firstLine="720"/>
        <w:jc w:val="both"/>
        <w:rPr/>
      </w:pPr>
      <w:r>
        <w:rPr>
          <w:rFonts w:ascii="sans-serif" w:hAnsi="sans-serif"/>
          <w:b w:val="false"/>
          <w:color w:val="000000"/>
          <w:sz w:val="22"/>
        </w:rPr>
        <w:t>11.6    </w:t>
      </w:r>
      <w:r>
        <w:rPr>
          <w:rFonts w:ascii="sans-serif" w:hAnsi="sans-serif"/>
          <w:b w:val="false"/>
          <w:color w:val="000000"/>
          <w:sz w:val="22"/>
          <w:u w:val="single"/>
        </w:rPr>
        <w:t>Section 409A</w:t>
      </w:r>
      <w:r>
        <w:rPr>
          <w:rFonts w:ascii="sans-serif" w:hAnsi="sans-serif"/>
          <w:b w:val="false"/>
          <w:color w:val="000000"/>
          <w:sz w:val="22"/>
        </w:rPr>
        <w:t xml:space="preserve">. </w:t>
      </w:r>
    </w:p>
    <w:p>
      <w:pPr>
        <w:pStyle w:val="TextBody"/>
        <w:bidi w:val="0"/>
        <w:spacing w:lineRule="auto" w:line="288" w:before="0" w:after="240"/>
        <w:ind w:left="0" w:right="0" w:firstLine="1440"/>
        <w:jc w:val="both"/>
        <w:rPr/>
      </w:pPr>
      <w:r>
        <w:rPr>
          <w:rFonts w:ascii="sans-serif" w:hAnsi="sans-serif"/>
          <w:b w:val="false"/>
          <w:color w:val="000000"/>
          <w:sz w:val="22"/>
        </w:rPr>
        <w:t>(a)    </w:t>
      </w:r>
      <w:r>
        <w:rPr>
          <w:rFonts w:ascii="sans-serif" w:hAnsi="sans-serif"/>
          <w:b w:val="false"/>
          <w:i/>
          <w:color w:val="000000"/>
          <w:sz w:val="22"/>
        </w:rPr>
        <w:t>General</w:t>
      </w:r>
      <w:r>
        <w:rPr>
          <w:rFonts w:ascii="sans-serif" w:hAnsi="sans-serif"/>
          <w:b w:val="false"/>
          <w:color w:val="000000"/>
          <w:sz w:val="22"/>
        </w:rPr>
        <w:t xml:space="preserve">. To the extent that the Administrator determines that any Award granted under the Plan is subject to Section 409A, the Award Agreement evidencing such Award shall incorporate the terms and conditions required by Section 409A. The Company intends that all Awards be structured to comply with, or be exempt from, Section 409A and, to the extent applicable,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2560"/>
                <wp:effectExtent l="0" t="0" r="0" b="0"/>
                <wp:wrapNone/>
                <wp:docPr id="31" name="Frame2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19</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lineRule="auto" w:line="288" w:before="0" w:after="240"/>
        <w:ind w:left="0" w:right="0" w:firstLine="1440"/>
        <w:jc w:val="both"/>
        <w:rPr/>
      </w:pPr>
      <w:r>
        <w:rPr>
          <w:rFonts w:ascii="sans-serif" w:hAnsi="sans-serif"/>
          <w:b w:val="false"/>
          <w:color w:val="000000"/>
          <w:sz w:val="22"/>
        </w:rPr>
        <w:t>(b)    </w:t>
      </w:r>
      <w:r>
        <w:rPr>
          <w:rFonts w:ascii="sans-serif" w:hAnsi="sans-serif"/>
          <w:b w:val="false"/>
          <w:i/>
          <w:color w:val="000000"/>
          <w:sz w:val="22"/>
        </w:rPr>
        <w:t>Separation from Service</w:t>
      </w:r>
      <w:r>
        <w:rPr>
          <w:rFonts w:ascii="sans-serif" w:hAnsi="sans-serif"/>
          <w:b w:val="false"/>
          <w:color w:val="000000"/>
          <w:sz w:val="22"/>
        </w:rPr>
        <w:t>. If an Award constitutes “nonqualified deferred compensation” under Section 409A, any 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pStyle w:val="TextBody"/>
        <w:bidi w:val="0"/>
        <w:spacing w:lineRule="auto" w:line="288" w:before="0" w:after="240"/>
        <w:ind w:left="0" w:right="0" w:firstLine="1440"/>
        <w:jc w:val="both"/>
        <w:rPr/>
      </w:pPr>
      <w:r>
        <w:rPr>
          <w:rFonts w:ascii="sans-serif" w:hAnsi="sans-serif"/>
          <w:b w:val="false"/>
          <w:color w:val="000000"/>
          <w:sz w:val="22"/>
        </w:rPr>
        <w:t>(c)    </w:t>
      </w:r>
      <w:r>
        <w:rPr>
          <w:rFonts w:ascii="sans-serif" w:hAnsi="sans-serif"/>
          <w:b w:val="false"/>
          <w:i/>
          <w:color w:val="000000"/>
          <w:sz w:val="22"/>
        </w:rPr>
        <w:t>Payments to Specified Employees</w:t>
      </w:r>
      <w:r>
        <w:rPr>
          <w:rFonts w:ascii="sans-serif" w:hAnsi="sans-serif"/>
          <w:b w:val="false"/>
          <w:color w:val="000000"/>
          <w:sz w:val="22"/>
        </w:rPr>
        <w:t>. Notwithstanding any contrary provision in the Plan or any Award Agreement, any payment(s) of “nonqualified deferred compensation” required to be made under an Award to a “specified employee” (as defined under Section 409A and as the Administrator determines) due to such person’s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lineRule="auto" w:line="288" w:before="0" w:after="240"/>
        <w:ind w:left="0" w:right="0" w:firstLine="1440"/>
        <w:jc w:val="both"/>
        <w:rPr/>
      </w:pPr>
      <w:r>
        <w:rPr>
          <w:rFonts w:ascii="sans-serif" w:hAnsi="sans-serif"/>
          <w:b w:val="false"/>
          <w:color w:val="000000"/>
          <w:sz w:val="22"/>
        </w:rPr>
        <w:t>(d)    </w:t>
      </w:r>
      <w:r>
        <w:rPr>
          <w:rFonts w:ascii="sans-serif" w:hAnsi="sans-serif"/>
          <w:b w:val="false"/>
          <w:i/>
          <w:color w:val="000000"/>
          <w:sz w:val="22"/>
        </w:rPr>
        <w:t>Separate Payments</w:t>
      </w:r>
      <w:r>
        <w:rPr>
          <w:rFonts w:ascii="sans-serif" w:hAnsi="sans-serif"/>
          <w:b w:val="false"/>
          <w:color w:val="000000"/>
          <w:sz w:val="22"/>
        </w:rPr>
        <w:t>. If an Award includes a “series of installment payments” within the meaning of Section 1.409A-2(b)(2)(iii) 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pStyle w:val="TextBody"/>
        <w:bidi w:val="0"/>
        <w:spacing w:lineRule="auto" w:line="288" w:before="0" w:after="240"/>
        <w:ind w:left="0" w:right="0" w:firstLine="1440"/>
        <w:jc w:val="both"/>
        <w:rPr/>
      </w:pPr>
      <w:r>
        <w:rPr>
          <w:rFonts w:ascii="sans-serif" w:hAnsi="sans-serif"/>
          <w:b w:val="false"/>
          <w:color w:val="000000"/>
          <w:sz w:val="22"/>
        </w:rPr>
        <w:t>(e)    </w:t>
      </w:r>
      <w:r>
        <w:rPr>
          <w:rFonts w:ascii="sans-serif" w:hAnsi="sans-serif"/>
          <w:b w:val="false"/>
          <w:i/>
          <w:color w:val="000000"/>
          <w:sz w:val="22"/>
        </w:rPr>
        <w:t>Change in Control</w:t>
      </w:r>
      <w:r>
        <w:rPr>
          <w:rFonts w:ascii="sans-serif" w:hAnsi="sans-serif"/>
          <w:b w:val="false"/>
          <w:color w:val="000000"/>
          <w:sz w:val="22"/>
        </w:rPr>
        <w:t>. 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pStyle w:val="TextBody"/>
        <w:bidi w:val="0"/>
        <w:spacing w:lineRule="auto" w:line="288" w:before="0" w:after="240"/>
        <w:ind w:left="0" w:right="0" w:firstLine="720"/>
        <w:jc w:val="both"/>
        <w:rPr/>
      </w:pPr>
      <w:r>
        <w:rPr>
          <w:rFonts w:ascii="sans-serif" w:hAnsi="sans-serif"/>
          <w:b w:val="false"/>
          <w:color w:val="000000"/>
          <w:sz w:val="22"/>
        </w:rPr>
        <w:t>11.7    </w:t>
      </w:r>
      <w:r>
        <w:rPr>
          <w:rFonts w:ascii="sans-serif" w:hAnsi="sans-serif"/>
          <w:b w:val="false"/>
          <w:color w:val="000000"/>
          <w:sz w:val="22"/>
          <w:u w:val="single"/>
        </w:rPr>
        <w:t>Limitations on Liability</w:t>
      </w:r>
      <w:r>
        <w:rPr>
          <w:rFonts w:ascii="sans-serif" w:hAnsi="sans-serif"/>
          <w:b w:val="false"/>
          <w:color w:val="000000"/>
          <w:sz w:val="22"/>
        </w:rPr>
        <w:t xml:space="preserve">. Except as limited by Applicable Law and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2560"/>
                <wp:effectExtent l="0" t="0" r="0" b="0"/>
                <wp:wrapNone/>
                <wp:docPr id="32" name="Frame3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20</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liable with respect to the Plan because of any contract or other instrument executed in such person’s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such person gives the Company an opportunity, at its own expense, to handle and defend the same before undertaking to handle and defend it on such person’s own behalf.</w:t>
      </w:r>
    </w:p>
    <w:p>
      <w:pPr>
        <w:pStyle w:val="TextBody"/>
        <w:bidi w:val="0"/>
        <w:spacing w:lineRule="auto" w:line="288" w:before="0" w:after="240"/>
        <w:ind w:left="0" w:right="0" w:firstLine="720"/>
        <w:jc w:val="both"/>
        <w:rPr/>
      </w:pPr>
      <w:r>
        <w:rPr>
          <w:rFonts w:ascii="sans-serif" w:hAnsi="sans-serif"/>
          <w:b w:val="false"/>
          <w:color w:val="000000"/>
          <w:sz w:val="22"/>
        </w:rPr>
        <w:t>11.8    </w:t>
      </w:r>
      <w:r>
        <w:rPr>
          <w:rFonts w:ascii="sans-serif" w:hAnsi="sans-serif"/>
          <w:b w:val="false"/>
          <w:color w:val="000000"/>
          <w:sz w:val="22"/>
          <w:u w:val="single"/>
        </w:rPr>
        <w:t>Data Privacy</w:t>
      </w:r>
      <w:r>
        <w:rPr>
          <w:rFonts w:ascii="sans-serif" w:hAnsi="sans-serif"/>
          <w:b w:val="false"/>
          <w:color w:val="000000"/>
          <w:sz w:val="22"/>
        </w:rPr>
        <w:t>. As a condition for receiving any Award, each Participant explicitly and unambiguously consents to the collection, use and transfer, in electronic or other form, of personal data as described in this Section 11.9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sans-serif" w:hAnsi="sans-serif"/>
          <w:b/>
          <w:i/>
          <w:color w:val="000000"/>
          <w:sz w:val="22"/>
        </w:rPr>
        <w:t>Data</w:t>
      </w:r>
      <w:r>
        <w:rPr>
          <w:color w:val="000000"/>
        </w:rPr>
        <w:t>”</w:t>
      </w:r>
      <w:r>
        <w:rPr>
          <w:rFonts w:ascii="sans-serif" w:hAnsi="sans-serif"/>
          <w:b w:val="false"/>
          <w:color w:val="000000"/>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11.9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11.9. For more information on the consequences of refusing or withdrawing consent, Participants may contact their local human resources representative.</w:t>
      </w:r>
    </w:p>
    <w:p>
      <w:pPr>
        <w:pStyle w:val="TextBody"/>
        <w:bidi w:val="0"/>
        <w:spacing w:lineRule="auto" w:line="288" w:before="0" w:after="240"/>
        <w:ind w:left="0" w:right="0" w:firstLine="720"/>
        <w:jc w:val="both"/>
        <w:rPr/>
      </w:pPr>
      <w:r>
        <w:rPr>
          <w:rFonts w:ascii="sans-serif" w:hAnsi="sans-serif"/>
          <w:b w:val="false"/>
          <w:color w:val="000000"/>
          <w:sz w:val="22"/>
        </w:rPr>
        <w:t>11.9    </w:t>
      </w:r>
      <w:r>
        <w:rPr>
          <w:rFonts w:ascii="sans-serif" w:hAnsi="sans-serif"/>
          <w:b w:val="false"/>
          <w:color w:val="000000"/>
          <w:sz w:val="22"/>
          <w:u w:val="single"/>
        </w:rPr>
        <w:t>Severability</w:t>
      </w:r>
      <w:r>
        <w:rPr>
          <w:rFonts w:ascii="sans-serif" w:hAnsi="sans-serif"/>
          <w:b w:val="false"/>
          <w:color w:val="000000"/>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lineRule="auto" w:line="288" w:before="0" w:after="240"/>
        <w:ind w:left="0" w:right="0" w:firstLine="720"/>
        <w:jc w:val="both"/>
        <w:rPr/>
      </w:pPr>
      <w:r>
        <w:rPr>
          <w:rFonts w:ascii="sans-serif" w:hAnsi="sans-serif"/>
          <w:b w:val="false"/>
          <w:color w:val="000000"/>
          <w:sz w:val="22"/>
        </w:rPr>
        <w:t>11.10    </w:t>
      </w:r>
      <w:r>
        <w:rPr>
          <w:rFonts w:ascii="sans-serif" w:hAnsi="sans-serif"/>
          <w:b w:val="false"/>
          <w:color w:val="000000"/>
          <w:sz w:val="22"/>
          <w:u w:val="single"/>
        </w:rPr>
        <w:t>Governing Documents</w:t>
      </w:r>
      <w:r>
        <w:rPr>
          <w:rFonts w:ascii="sans-serif" w:hAnsi="sans-serif"/>
          <w:b w:val="false"/>
          <w:color w:val="000000"/>
          <w:sz w:val="22"/>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2560"/>
                <wp:effectExtent l="0" t="0" r="0" b="0"/>
                <wp:wrapNone/>
                <wp:docPr id="33" name="Frame3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21</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11.11    </w:t>
      </w:r>
      <w:r>
        <w:rPr>
          <w:rFonts w:ascii="sans-serif" w:hAnsi="sans-serif"/>
          <w:b w:val="false"/>
          <w:color w:val="000000"/>
          <w:sz w:val="22"/>
          <w:u w:val="single"/>
        </w:rPr>
        <w:t>Governing Law</w:t>
      </w:r>
      <w:r>
        <w:rPr>
          <w:rFonts w:ascii="sans-serif" w:hAnsi="sans-serif"/>
          <w:b w:val="false"/>
          <w:color w:val="000000"/>
          <w:sz w:val="22"/>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pStyle w:val="TextBody"/>
        <w:bidi w:val="0"/>
        <w:spacing w:lineRule="auto" w:line="288" w:before="0" w:after="240"/>
        <w:ind w:left="0" w:right="0" w:firstLine="720"/>
        <w:jc w:val="both"/>
        <w:rPr/>
      </w:pPr>
      <w:r>
        <w:rPr>
          <w:rFonts w:ascii="sans-serif" w:hAnsi="sans-serif"/>
          <w:b w:val="false"/>
          <w:color w:val="000000"/>
          <w:sz w:val="22"/>
        </w:rPr>
        <w:t>11.12    </w:t>
      </w:r>
      <w:r>
        <w:rPr>
          <w:rFonts w:ascii="sans-serif" w:hAnsi="sans-serif"/>
          <w:b w:val="false"/>
          <w:color w:val="000000"/>
          <w:sz w:val="22"/>
          <w:u w:val="single"/>
        </w:rPr>
        <w:t>Clawback Provisions</w:t>
      </w:r>
      <w:r>
        <w:rPr>
          <w:rFonts w:ascii="sans-serif" w:hAnsi="sans-serif"/>
          <w:b w:val="false"/>
          <w:color w:val="000000"/>
          <w:sz w:val="22"/>
        </w:rPr>
        <w:t xml:space="preserve">.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 </w:t>
      </w:r>
    </w:p>
    <w:p>
      <w:pPr>
        <w:pStyle w:val="TextBody"/>
        <w:bidi w:val="0"/>
        <w:spacing w:lineRule="auto" w:line="288" w:before="0" w:after="240"/>
        <w:ind w:left="0" w:right="0" w:firstLine="720"/>
        <w:jc w:val="both"/>
        <w:rPr/>
      </w:pPr>
      <w:r>
        <w:rPr>
          <w:rFonts w:ascii="sans-serif" w:hAnsi="sans-serif"/>
          <w:b w:val="false"/>
          <w:color w:val="000000"/>
          <w:sz w:val="22"/>
        </w:rPr>
        <w:t>11.13    </w:t>
      </w:r>
      <w:r>
        <w:rPr>
          <w:rFonts w:ascii="sans-serif" w:hAnsi="sans-serif"/>
          <w:b w:val="false"/>
          <w:color w:val="000000"/>
          <w:sz w:val="22"/>
          <w:u w:val="single"/>
        </w:rPr>
        <w:t>Titles and Headings</w:t>
      </w:r>
      <w:r>
        <w:rPr>
          <w:rFonts w:ascii="sans-serif" w:hAnsi="sans-serif"/>
          <w:b w:val="false"/>
          <w:color w:val="000000"/>
          <w:sz w:val="22"/>
        </w:rPr>
        <w:t>. The titles and headings in the Plan are for convenience of reference only and, if any conflict, the Plan’s text, rather than such titles or headings, will control.</w:t>
      </w:r>
    </w:p>
    <w:p>
      <w:pPr>
        <w:pStyle w:val="TextBody"/>
        <w:bidi w:val="0"/>
        <w:spacing w:lineRule="auto" w:line="288" w:before="0" w:after="240"/>
        <w:ind w:left="0" w:right="0" w:firstLine="720"/>
        <w:jc w:val="both"/>
        <w:rPr/>
      </w:pPr>
      <w:r>
        <w:rPr>
          <w:rFonts w:ascii="sans-serif" w:hAnsi="sans-serif"/>
          <w:b w:val="false"/>
          <w:color w:val="000000"/>
          <w:sz w:val="22"/>
        </w:rPr>
        <w:t>11.14    </w:t>
      </w:r>
      <w:r>
        <w:rPr>
          <w:rFonts w:ascii="sans-serif" w:hAnsi="sans-serif"/>
          <w:b w:val="false"/>
          <w:color w:val="000000"/>
          <w:sz w:val="22"/>
          <w:u w:val="single"/>
        </w:rPr>
        <w:t>Conformity to Applicable Law</w:t>
      </w:r>
      <w:r>
        <w:rPr>
          <w:rFonts w:ascii="sans-serif" w:hAnsi="sans-serif"/>
          <w:b w:val="false"/>
          <w:color w:val="000000"/>
          <w:sz w:val="22"/>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pStyle w:val="TextBody"/>
        <w:bidi w:val="0"/>
        <w:spacing w:lineRule="auto" w:line="288" w:before="0" w:after="240"/>
        <w:ind w:left="0" w:right="0" w:firstLine="720"/>
        <w:jc w:val="both"/>
        <w:rPr/>
      </w:pPr>
      <w:r>
        <w:rPr>
          <w:rFonts w:ascii="sans-serif" w:hAnsi="sans-serif"/>
          <w:b w:val="false"/>
          <w:color w:val="000000"/>
          <w:sz w:val="22"/>
        </w:rPr>
        <w:t>11.15    </w:t>
      </w:r>
      <w:r>
        <w:rPr>
          <w:rFonts w:ascii="sans-serif" w:hAnsi="sans-serif"/>
          <w:b w:val="false"/>
          <w:color w:val="000000"/>
          <w:sz w:val="22"/>
          <w:u w:val="single"/>
        </w:rPr>
        <w:t>Relationship to Other Benefits</w:t>
      </w:r>
      <w:r>
        <w:rPr>
          <w:rFonts w:ascii="sans-serif" w:hAnsi="sans-serif"/>
          <w:b w:val="false"/>
          <w:color w:val="000000"/>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lineRule="auto" w:line="288" w:before="0" w:after="240"/>
        <w:ind w:left="0" w:right="0" w:firstLine="720"/>
        <w:jc w:val="both"/>
        <w:rPr/>
      </w:pPr>
      <w:r>
        <w:rPr>
          <w:rFonts w:ascii="sans-serif" w:hAnsi="sans-serif"/>
          <w:b w:val="false"/>
          <w:color w:val="000000"/>
          <w:sz w:val="22"/>
        </w:rPr>
        <w:t>11.16    </w:t>
      </w:r>
      <w:r>
        <w:rPr>
          <w:rFonts w:ascii="sans-serif" w:hAnsi="sans-serif"/>
          <w:b w:val="false"/>
          <w:color w:val="000000"/>
          <w:sz w:val="22"/>
          <w:u w:val="single"/>
        </w:rPr>
        <w:t>Unfunded Status of Awards</w:t>
      </w:r>
      <w:r>
        <w:rPr>
          <w:rFonts w:ascii="sans-serif" w:hAnsi="sans-serif"/>
          <w:b w:val="false"/>
          <w:color w:val="000000"/>
          <w:sz w:val="22"/>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pStyle w:val="TextBody"/>
        <w:bidi w:val="0"/>
        <w:spacing w:lineRule="auto" w:line="288" w:before="0" w:after="240"/>
        <w:ind w:left="0" w:right="0" w:firstLine="720"/>
        <w:jc w:val="both"/>
        <w:rPr/>
      </w:pPr>
      <w:r>
        <w:rPr>
          <w:rFonts w:ascii="sans-serif" w:hAnsi="sans-serif"/>
          <w:b w:val="false"/>
          <w:color w:val="000000"/>
          <w:sz w:val="22"/>
        </w:rPr>
        <w:t>11.17    </w:t>
      </w:r>
      <w:r>
        <w:rPr>
          <w:rFonts w:ascii="sans-serif" w:hAnsi="sans-serif"/>
          <w:b w:val="false"/>
          <w:color w:val="000000"/>
          <w:sz w:val="22"/>
          <w:u w:val="single"/>
        </w:rPr>
        <w:t>Limitations Applicable to Section 16 Persons</w:t>
      </w:r>
      <w:r>
        <w:rPr>
          <w:rFonts w:ascii="sans-serif" w:hAnsi="sans-serif"/>
          <w:b w:val="false"/>
          <w:color w:val="000000"/>
          <w:sz w:val="22"/>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2560"/>
                <wp:effectExtent l="0" t="0" r="0" b="0"/>
                <wp:wrapNone/>
                <wp:docPr id="34" name="Frame3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22</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permitted by Applicable Law, the Plan and Awards granted or awarded hereunder shall be deemed amended to the extent necessary to conform to such applicable exemptive rule.</w:t>
      </w:r>
    </w:p>
    <w:p>
      <w:pPr>
        <w:pStyle w:val="TextBody"/>
        <w:bidi w:val="0"/>
        <w:spacing w:lineRule="auto" w:line="288" w:before="0" w:after="240"/>
        <w:ind w:left="0" w:right="0" w:firstLine="720"/>
        <w:jc w:val="both"/>
        <w:rPr/>
      </w:pPr>
      <w:r>
        <w:rPr>
          <w:rFonts w:ascii="sans-serif" w:hAnsi="sans-serif"/>
          <w:b w:val="false"/>
          <w:color w:val="000000"/>
          <w:sz w:val="22"/>
        </w:rPr>
        <w:t>11.18    </w:t>
      </w:r>
      <w:r>
        <w:rPr>
          <w:rFonts w:ascii="sans-serif" w:hAnsi="sans-serif"/>
          <w:b w:val="false"/>
          <w:color w:val="000000"/>
          <w:sz w:val="22"/>
          <w:u w:val="single"/>
        </w:rPr>
        <w:t>Prohibition on Executive Officer and Director Loans</w:t>
      </w:r>
      <w:r>
        <w:rPr>
          <w:rFonts w:ascii="sans-serif" w:hAnsi="sans-serif"/>
          <w:b w:val="false"/>
          <w:color w:val="000000"/>
          <w:sz w:val="22"/>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lineRule="auto" w:line="288" w:before="0" w:after="240"/>
        <w:ind w:left="0" w:right="0" w:firstLine="720"/>
        <w:jc w:val="both"/>
        <w:rPr/>
      </w:pPr>
      <w:r>
        <w:rPr>
          <w:rFonts w:ascii="sans-serif" w:hAnsi="sans-serif"/>
          <w:b w:val="false"/>
          <w:color w:val="000000"/>
          <w:sz w:val="22"/>
        </w:rPr>
        <w:t>11.19    </w:t>
      </w:r>
      <w:r>
        <w:rPr>
          <w:rFonts w:ascii="sans-serif" w:hAnsi="sans-serif"/>
          <w:b w:val="false"/>
          <w:color w:val="000000"/>
          <w:sz w:val="22"/>
          <w:u w:val="single"/>
        </w:rPr>
        <w:t>Broker-Assisted Sales</w:t>
      </w:r>
      <w:r>
        <w:rPr>
          <w:rFonts w:ascii="sans-serif" w:hAnsi="sans-serif"/>
          <w:b w:val="false"/>
          <w:color w:val="000000"/>
          <w:sz w:val="22"/>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2560"/>
                <wp:effectExtent l="0" t="0" r="0" b="0"/>
                <wp:wrapNone/>
                <wp:docPr id="35" name="Frame3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sans-serif" w:hAnsi="sans-serif"/>
                          <w:b w:val="false"/>
                          <w:color w:val="000000"/>
                          <w:sz w:val="22"/>
                        </w:rPr>
                      </w:pPr>
                      <w:r>
                        <w:rPr>
                          <w:rFonts w:ascii="sans-serif" w:hAnsi="sans-serif"/>
                          <w:b w:val="false"/>
                          <w:color w:val="000000"/>
                          <w:sz w:val="22"/>
                        </w:rPr>
                        <w:t>23</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NEUTRON HOLDINGS,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2026 INCENTIVE AWARD PLAN</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STOCK OPTION GRANT NOTICE</w:t>
      </w:r>
    </w:p>
    <w:p>
      <w:pPr>
        <w:pStyle w:val="TextBody"/>
        <w:bidi w:val="0"/>
        <w:spacing w:lineRule="auto" w:line="288" w:before="0" w:after="240"/>
        <w:ind w:left="0" w:right="0" w:firstLine="720"/>
        <w:jc w:val="both"/>
        <w:rPr/>
      </w:pPr>
      <w:r>
        <w:rPr>
          <w:rFonts w:ascii="sans-serif" w:hAnsi="sans-serif"/>
          <w:b w:val="false"/>
          <w:color w:val="000000"/>
          <w:sz w:val="24"/>
        </w:rPr>
        <w:t>Neutron Holdings, Inc., a Delaware corporation (the “</w:t>
      </w:r>
      <w:r>
        <w:rPr>
          <w:rFonts w:ascii="sans-serif" w:hAnsi="sans-serif"/>
          <w:b/>
          <w:i/>
          <w:color w:val="000000"/>
          <w:sz w:val="24"/>
        </w:rPr>
        <w:t>Company</w:t>
      </w:r>
      <w:r>
        <w:rPr>
          <w:color w:val="000000"/>
        </w:rPr>
        <w:t>”</w:t>
      </w:r>
      <w:r>
        <w:rPr>
          <w:rFonts w:ascii="sans-serif" w:hAnsi="sans-serif"/>
          <w:b w:val="false"/>
          <w:color w:val="000000"/>
          <w:sz w:val="24"/>
        </w:rPr>
        <w:t>), pursuant to its 2026 Incentive Award Plan, as may be amended from time to time (the “</w:t>
      </w:r>
      <w:r>
        <w:rPr>
          <w:rFonts w:ascii="sans-serif" w:hAnsi="sans-serif"/>
          <w:b/>
          <w:i/>
          <w:color w:val="000000"/>
          <w:sz w:val="24"/>
        </w:rPr>
        <w:t>Plan</w:t>
      </w:r>
      <w:r>
        <w:rPr>
          <w:color w:val="000000"/>
        </w:rPr>
        <w:t>”</w:t>
      </w:r>
      <w:r>
        <w:rPr>
          <w:rFonts w:ascii="sans-serif" w:hAnsi="sans-serif"/>
          <w:b w:val="false"/>
          <w:color w:val="000000"/>
          <w:sz w:val="24"/>
        </w:rPr>
        <w:t>), hereby grants to the holder listed below (“</w:t>
      </w:r>
      <w:r>
        <w:rPr>
          <w:rFonts w:ascii="sans-serif" w:hAnsi="sans-serif"/>
          <w:b/>
          <w:i/>
          <w:color w:val="000000"/>
          <w:sz w:val="24"/>
        </w:rPr>
        <w:t>Participant</w:t>
      </w:r>
      <w:r>
        <w:rPr>
          <w:color w:val="000000"/>
        </w:rPr>
        <w:t>”</w:t>
      </w:r>
      <w:r>
        <w:rPr>
          <w:rFonts w:ascii="sans-serif" w:hAnsi="sans-serif"/>
          <w:b w:val="false"/>
          <w:color w:val="000000"/>
          <w:sz w:val="24"/>
        </w:rPr>
        <w:t>), an option to purchase the number of shares of the Company’s Common Stock (the “</w:t>
      </w:r>
      <w:r>
        <w:rPr>
          <w:rFonts w:ascii="sans-serif" w:hAnsi="sans-serif"/>
          <w:b/>
          <w:i/>
          <w:color w:val="000000"/>
          <w:sz w:val="24"/>
        </w:rPr>
        <w:t>Shares</w:t>
      </w:r>
      <w:r>
        <w:rPr>
          <w:color w:val="000000"/>
        </w:rPr>
        <w:t>”</w:t>
      </w:r>
      <w:r>
        <w:rPr>
          <w:rFonts w:ascii="sans-serif" w:hAnsi="sans-serif"/>
          <w:b w:val="false"/>
          <w:color w:val="000000"/>
          <w:sz w:val="24"/>
        </w:rPr>
        <w:t xml:space="preserve">), set forth below (the </w:t>
      </w:r>
      <w:r>
        <w:rPr>
          <w:color w:val="000000"/>
        </w:rPr>
        <w:t>“</w:t>
      </w:r>
      <w:r>
        <w:rPr>
          <w:rFonts w:ascii="sans-serif" w:hAnsi="sans-serif"/>
          <w:b/>
          <w:i/>
          <w:color w:val="000000"/>
          <w:sz w:val="24"/>
        </w:rPr>
        <w:t>Option</w:t>
      </w:r>
      <w:r>
        <w:rPr>
          <w:color w:val="000000"/>
        </w:rPr>
        <w:t>”</w:t>
      </w:r>
      <w:r>
        <w:rPr>
          <w:rFonts w:ascii="sans-serif" w:hAnsi="sans-serif"/>
          <w:b w:val="false"/>
          <w:color w:val="000000"/>
          <w:sz w:val="24"/>
        </w:rPr>
        <w:t xml:space="preserve">). This Option is subject to all of the terms and conditions set forth herein, as well as in the Plan and the Stock Option Agreement attached hereto as </w:t>
      </w:r>
      <w:r>
        <w:rPr>
          <w:rFonts w:ascii="sans-serif" w:hAnsi="sans-serif"/>
          <w:b/>
          <w:color w:val="000000"/>
          <w:sz w:val="24"/>
        </w:rPr>
        <w:t>Exhibit A</w:t>
      </w:r>
      <w:r>
        <w:rPr>
          <w:color w:val="000000"/>
        </w:rPr>
        <w:t xml:space="preserve"> </w:t>
      </w:r>
      <w:r>
        <w:rPr>
          <w:rFonts w:ascii="sans-serif" w:hAnsi="sans-serif"/>
          <w:b w:val="false"/>
          <w:color w:val="000000"/>
          <w:sz w:val="24"/>
        </w:rPr>
        <w:t xml:space="preserve">(the </w:t>
      </w:r>
      <w:r>
        <w:rPr>
          <w:color w:val="000000"/>
        </w:rPr>
        <w:t>“</w:t>
      </w:r>
      <w:r>
        <w:rPr>
          <w:rFonts w:ascii="sans-serif" w:hAnsi="sans-serif"/>
          <w:b/>
          <w:i/>
          <w:color w:val="000000"/>
          <w:sz w:val="24"/>
        </w:rPr>
        <w:t>Stock Option Agreement</w:t>
      </w:r>
      <w:r>
        <w:rPr>
          <w:color w:val="000000"/>
        </w:rPr>
        <w:t>”</w:t>
      </w:r>
      <w:r>
        <w:rPr>
          <w:rFonts w:ascii="sans-serif" w:hAnsi="sans-serif"/>
          <w:b w:val="false"/>
          <w:color w:val="000000"/>
          <w:sz w:val="24"/>
        </w:rPr>
        <w:t>)</w:t>
      </w:r>
      <w:r>
        <w:rPr>
          <w:color w:val="000000"/>
        </w:rPr>
        <w:t xml:space="preserve"> </w:t>
      </w:r>
      <w:r>
        <w:rPr>
          <w:rFonts w:ascii="sans-serif" w:hAnsi="sans-serif"/>
          <w:b w:val="false"/>
          <w:color w:val="000000"/>
          <w:sz w:val="24"/>
        </w:rPr>
        <w:t>including any special provisions for Participant’s country of residence, if any, set forth in the Appendix for Participant’s Country (the “</w:t>
      </w:r>
      <w:r>
        <w:rPr>
          <w:rFonts w:ascii="sans-serif" w:hAnsi="sans-serif"/>
          <w:b/>
          <w:i/>
          <w:color w:val="000000"/>
          <w:sz w:val="24"/>
        </w:rPr>
        <w:t>Country Provisions</w:t>
      </w:r>
      <w:r>
        <w:rPr>
          <w:color w:val="000000"/>
        </w:rPr>
        <w:t>”</w:t>
      </w:r>
      <w:r>
        <w:rPr>
          <w:rFonts w:ascii="sans-serif" w:hAnsi="sans-serif"/>
          <w:b w:val="false"/>
          <w:color w:val="000000"/>
          <w:sz w:val="24"/>
        </w:rPr>
        <w:t>),</w:t>
      </w:r>
      <w:r>
        <w:rPr>
          <w:color w:val="000000"/>
        </w:rPr>
        <w:t xml:space="preserve"> </w:t>
      </w:r>
      <w:r>
        <w:rPr>
          <w:rFonts w:ascii="sans-serif" w:hAnsi="sans-serif"/>
          <w:b w:val="false"/>
          <w:color w:val="000000"/>
          <w:sz w:val="24"/>
        </w:rPr>
        <w:t>each of which are incorporated herein by reference. Unless otherwise defined herein, the terms defined in the Plan shall have the same defined meanings in this Grant Notice, the Country Provisions and the Stock Option Agreement.</w:t>
      </w:r>
    </w:p>
    <w:tbl>
      <w:tblPr>
        <w:tblW w:w="8621" w:type="dxa"/>
        <w:jc w:val="left"/>
        <w:tblInd w:w="0" w:type="dxa"/>
        <w:tblLayout w:type="fixed"/>
        <w:tblCellMar>
          <w:top w:w="28" w:type="dxa"/>
          <w:left w:w="28" w:type="dxa"/>
          <w:bottom w:w="28" w:type="dxa"/>
          <w:right w:w="28" w:type="dxa"/>
        </w:tblCellMar>
      </w:tblPr>
      <w:tblGrid>
        <w:gridCol w:w="2336"/>
        <w:gridCol w:w="2051"/>
        <w:gridCol w:w="2062"/>
        <w:gridCol w:w="109"/>
        <w:gridCol w:w="109"/>
        <w:gridCol w:w="109"/>
        <w:gridCol w:w="540"/>
        <w:gridCol w:w="540"/>
        <w:gridCol w:w="765"/>
      </w:tblGrid>
      <w:tr>
        <w:trPr/>
        <w:tc>
          <w:tcPr>
            <w:tcW w:w="233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sans-serif" w:hAnsi="sans-serif"/>
                <w:b/>
                <w:color w:val="000000"/>
                <w:sz w:val="24"/>
              </w:rPr>
            </w:pPr>
            <w:r>
              <w:rPr>
                <w:rFonts w:ascii="sans-serif" w:hAnsi="sans-serif"/>
                <w:b/>
                <w:color w:val="000000"/>
                <w:sz w:val="24"/>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[____________]</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[____________]</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Vesting         Commencement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[____________]</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w:t>
            </w:r>
          </w:p>
        </w:tc>
      </w:tr>
      <w:tr>
        <w:trPr/>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Total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w:t>
            </w:r>
          </w:p>
        </w:tc>
      </w:tr>
      <w:tr>
        <w:trPr/>
        <w:tc>
          <w:tcPr>
            <w:tcW w:w="6449"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sans-serif" w:hAnsi="sans-serif"/>
                <w:b/>
                <w:color w:val="000000"/>
                <w:sz w:val="24"/>
              </w:rPr>
            </w:pPr>
            <w:r>
              <w:rPr>
                <w:rFonts w:ascii="sans-serif" w:hAnsi="sans-serif"/>
                <w:b/>
                <w:color w:val="000000"/>
                <w:sz w:val="24"/>
              </w:rPr>
              <w:t>Total Number of Shares Subject to the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 xml:space="preserve">[____________] </w:t>
            </w:r>
          </w:p>
        </w:tc>
      </w:tr>
      <w:tr>
        <w:trPr/>
        <w:tc>
          <w:tcPr>
            <w:tcW w:w="6449"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sans-serif" w:hAnsi="sans-serif"/>
                <w:b/>
                <w:color w:val="000000"/>
                <w:sz w:val="24"/>
              </w:rPr>
            </w:pPr>
            <w:r>
              <w:rPr>
                <w:rFonts w:ascii="sans-serif" w:hAnsi="sans-serif"/>
                <w:b/>
                <w:color w:val="000000"/>
                <w:sz w:val="24"/>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[____________]</w:t>
            </w:r>
          </w:p>
        </w:tc>
      </w:tr>
      <w:tr>
        <w:trPr/>
        <w:tc>
          <w:tcPr>
            <w:tcW w:w="6449"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sans-serif" w:hAnsi="sans-serif"/>
                <w:b/>
                <w:color w:val="000000"/>
                <w:sz w:val="24"/>
              </w:rPr>
            </w:pPr>
            <w:r>
              <w:rPr>
                <w:rFonts w:ascii="sans-serif" w:hAnsi="sans-serif"/>
                <w:b/>
                <w:color w:val="000000"/>
                <w:sz w:val="24"/>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4"/>
              </w:rPr>
            </w:pPr>
            <w:r>
              <w:rPr>
                <w:rFonts w:ascii="sans-serif" w:hAnsi="sans-serif"/>
                <w:b w:val="false"/>
                <w:color w:val="000000"/>
                <w:sz w:val="24"/>
              </w:rPr>
              <w:t>[____________]</w:t>
            </w:r>
          </w:p>
        </w:tc>
      </w:tr>
    </w:tbl>
    <w:tbl>
      <w:tblPr>
        <w:tblW w:w="8917"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934"/>
        <w:gridCol w:w="934"/>
        <w:gridCol w:w="936"/>
        <w:gridCol w:w="109"/>
        <w:gridCol w:w="109"/>
        <w:gridCol w:w="109"/>
        <w:gridCol w:w="952"/>
        <w:gridCol w:w="952"/>
        <w:gridCol w:w="1350"/>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color w:val="000000"/>
                <w:sz w:val="24"/>
              </w:rPr>
            </w:pPr>
            <w:r>
              <w:rPr>
                <w:rFonts w:ascii="sans-serif" w:hAnsi="sans-serif"/>
                <w:b/>
                <w:color w:val="000000"/>
                <w:sz w:val="24"/>
              </w:rPr>
              <w:t>Type of Option: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Wingdings;sans-serif" w:hAnsi="Wingdings;sans-serif"/>
                <w:b w:val="false"/>
                <w:color w:val="000000"/>
                <w:sz w:val="24"/>
              </w:rPr>
            </w:pPr>
            <w:r>
              <w:rPr>
                <w:rFonts w:ascii="Wingdings;sans-serif" w:hAnsi="Wingdings;sans-serif"/>
                <w:b w:val="false"/>
                <w:color w:val="000000"/>
                <w:sz w:val="24"/>
              </w:rPr>
              <w:t>o</w:t>
            </w:r>
          </w:p>
        </w:tc>
        <w:tc>
          <w:tcPr>
            <w:tcW w:w="280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4"/>
              </w:rPr>
            </w:pPr>
            <w:r>
              <w:rPr>
                <w:rFonts w:ascii="sans-serif" w:hAnsi="sans-serif"/>
                <w:b w:val="false"/>
                <w:color w:val="000000"/>
                <w:sz w:val="24"/>
              </w:rPr>
              <w:t>Incentive Stock Option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Wingdings;sans-serif" w:hAnsi="Wingdings;sans-serif"/>
                <w:b w:val="false"/>
                <w:color w:val="000000"/>
                <w:sz w:val="24"/>
              </w:rPr>
            </w:pPr>
            <w:r>
              <w:rPr>
                <w:rFonts w:ascii="Wingdings;sans-serif" w:hAnsi="Wingdings;sans-serif"/>
                <w:b w:val="false"/>
                <w:color w:val="000000"/>
                <w:sz w:val="24"/>
              </w:rPr>
              <w:t>o</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4"/>
              </w:rPr>
            </w:pPr>
            <w:r>
              <w:rPr>
                <w:rFonts w:ascii="sans-serif" w:hAnsi="sans-serif"/>
                <w:b w:val="false"/>
                <w:color w:val="000000"/>
                <w:sz w:val="24"/>
              </w:rPr>
              <w:t>Nonqualified Stock Option</w:t>
            </w:r>
          </w:p>
        </w:tc>
      </w:tr>
    </w:tbl>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If the Company uses an electronic capitalization table system (such as Shareworks, Certent, Fidelity or Equity Edge) and the fields in this Grant Notice are blank or the information is otherwise provided in a different format electronically, the blank fields and other information will be deemed to come from the electronic equity administration system and is considered part of this Grant Notice. In addition, the Company’s signature below shall be deemed to have occurred by the Company’s input of the Option in such electronic equity administration system and the Participant’s signature below shall be deemed to have occurred by the Participant’s online acceptance of the Option through such electronic equity administration system.</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 xml:space="preserve">By his or her signature and the Company’s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decisions or interpretations of the Administrator upon any questions arising under the Plan, the Stock Option Agreement or this Grant Notice. </w:t>
      </w:r>
    </w:p>
    <w:tbl>
      <w:tblPr>
        <w:tblW w:w="9616" w:type="dxa"/>
        <w:jc w:val="left"/>
        <w:tblInd w:w="0" w:type="dxa"/>
        <w:tblLayout w:type="fixed"/>
        <w:tblCellMar>
          <w:top w:w="28" w:type="dxa"/>
          <w:left w:w="28" w:type="dxa"/>
          <w:bottom w:w="28" w:type="dxa"/>
          <w:right w:w="28" w:type="dxa"/>
        </w:tblCellMar>
      </w:tblPr>
      <w:tblGrid>
        <w:gridCol w:w="836"/>
        <w:gridCol w:w="734"/>
        <w:gridCol w:w="734"/>
        <w:gridCol w:w="734"/>
        <w:gridCol w:w="734"/>
        <w:gridCol w:w="734"/>
        <w:gridCol w:w="734"/>
        <w:gridCol w:w="734"/>
        <w:gridCol w:w="740"/>
        <w:gridCol w:w="109"/>
        <w:gridCol w:w="109"/>
        <w:gridCol w:w="109"/>
        <w:gridCol w:w="404"/>
        <w:gridCol w:w="404"/>
        <w:gridCol w:w="406"/>
        <w:gridCol w:w="329"/>
        <w:gridCol w:w="329"/>
        <w:gridCol w:w="331"/>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4"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color w:val="000000"/>
                <w:sz w:val="24"/>
              </w:rPr>
            </w:pPr>
            <w:r>
              <w:rPr>
                <w:rFonts w:ascii="sans-serif" w:hAnsi="sans-serif"/>
                <w:b/>
                <w:color w:val="000000"/>
                <w:sz w:val="24"/>
              </w:rPr>
              <w:t>NEUTRON                HOLDINGS,                   INC.:</w:t>
            </w:r>
          </w:p>
          <w:p>
            <w:pPr>
              <w:pStyle w:val="TableContents"/>
              <w:bidi w:val="0"/>
              <w:spacing w:lineRule="auto" w:line="288" w:before="0" w:after="120"/>
              <w:jc w:val="both"/>
              <w:rPr>
                <w:rFonts w:ascii="sans-serif" w:hAnsi="sans-serif"/>
                <w:b/>
                <w:color w:val="000000"/>
                <w:sz w:val="24"/>
              </w:rPr>
            </w:pPr>
            <w:r>
              <w:rPr>
                <w:rFonts w:ascii="sans-serif" w:hAnsi="sans-serif"/>
                <w:b/>
                <w:color w:val="000000"/>
                <w:sz w:val="24"/>
              </w:rPr>
              <w:t>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6"/>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color w:val="000000"/>
                <w:sz w:val="24"/>
              </w:rPr>
            </w:pPr>
            <w:r>
              <w:rPr>
                <w:rFonts w:ascii="sans-serif" w:hAnsi="sans-serif"/>
                <w:b/>
                <w:color w:val="000000"/>
                <w:sz w:val="24"/>
              </w:rPr>
              <w:t>PARTICIPANT: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By:</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By:</w:t>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4"/>
              </w:rPr>
            </w:pPr>
            <w:r>
              <w:rPr>
                <w:rFonts w:ascii="sans-serif" w:hAnsi="sans-serif"/>
                <w:b w:val="false"/>
                <w:color w:val="000000"/>
                <w:sz w:val="24"/>
              </w:rPr>
              <w:t>Print</w:t>
            </w:r>
          </w:p>
        </w:tc>
        <w:tc>
          <w:tcPr>
            <w:tcW w:w="2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Print</w:t>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 xml:space="preserve">Name: </w:t>
            </w:r>
          </w:p>
        </w:tc>
        <w:tc>
          <w:tcPr>
            <w:tcW w:w="2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 xml:space="preserve">Name: </w:t>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Title:</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 xml:space="preserve">Address: </w:t>
            </w:r>
          </w:p>
        </w:tc>
        <w:tc>
          <w:tcPr>
            <w:tcW w:w="2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sans-serif" w:hAnsi="sans-serif"/>
                <w:b w:val="false"/>
                <w:color w:val="000000"/>
                <w:sz w:val="24"/>
              </w:rPr>
            </w:pPr>
            <w:r>
              <w:rPr>
                <w:rFonts w:ascii="sans-serif" w:hAnsi="sans-serif"/>
                <w:b w:val="false"/>
                <w:color w:val="000000"/>
                <w:sz w:val="24"/>
              </w:rPr>
              <w:t xml:space="preserve">Address: </w:t>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EXHIBIT A</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TO STOCK OPTION GRANT NOTICE</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STOCK OPTION AGREEMENT</w:t>
      </w:r>
    </w:p>
    <w:p>
      <w:pPr>
        <w:pStyle w:val="TextBody"/>
        <w:bidi w:val="0"/>
        <w:spacing w:lineRule="auto" w:line="288" w:before="0" w:after="240"/>
        <w:ind w:left="0" w:right="0" w:firstLine="720"/>
        <w:jc w:val="both"/>
        <w:rPr/>
      </w:pPr>
      <w:r>
        <w:rPr>
          <w:rFonts w:ascii="sans-serif" w:hAnsi="sans-serif"/>
          <w:b w:val="false"/>
          <w:color w:val="000000"/>
          <w:sz w:val="24"/>
        </w:rPr>
        <w:t>Pursuant to the Stock Option Grant Notice (the “</w:t>
      </w:r>
      <w:r>
        <w:rPr>
          <w:rFonts w:ascii="sans-serif" w:hAnsi="sans-serif"/>
          <w:b/>
          <w:i/>
          <w:color w:val="000000"/>
          <w:sz w:val="24"/>
        </w:rPr>
        <w:t>Grant Notice</w:t>
      </w:r>
      <w:r>
        <w:rPr>
          <w:color w:val="000000"/>
        </w:rPr>
        <w:t>”</w:t>
      </w:r>
      <w:r>
        <w:rPr>
          <w:rFonts w:ascii="sans-serif" w:hAnsi="sans-serif"/>
          <w:b w:val="false"/>
          <w:color w:val="000000"/>
          <w:sz w:val="24"/>
        </w:rPr>
        <w:t xml:space="preserve">) to which this Stock Option Agreement (this </w:t>
      </w:r>
      <w:r>
        <w:rPr>
          <w:color w:val="000000"/>
        </w:rPr>
        <w:t>“</w:t>
      </w:r>
      <w:r>
        <w:rPr>
          <w:rFonts w:ascii="sans-serif" w:hAnsi="sans-serif"/>
          <w:b/>
          <w:i/>
          <w:color w:val="000000"/>
          <w:sz w:val="24"/>
        </w:rPr>
        <w:t>Agreement</w:t>
      </w:r>
      <w:r>
        <w:rPr>
          <w:color w:val="000000"/>
        </w:rPr>
        <w:t>”</w:t>
      </w:r>
      <w:r>
        <w:rPr>
          <w:rFonts w:ascii="sans-serif" w:hAnsi="sans-serif"/>
          <w:b w:val="false"/>
          <w:color w:val="000000"/>
          <w:sz w:val="24"/>
        </w:rPr>
        <w:t xml:space="preserve">) is attached, Neutron Holdings, Inc., a Delaware corporation (the </w:t>
      </w:r>
      <w:r>
        <w:rPr>
          <w:color w:val="000000"/>
        </w:rPr>
        <w:t>“</w:t>
      </w:r>
      <w:r>
        <w:rPr>
          <w:rFonts w:ascii="sans-serif" w:hAnsi="sans-serif"/>
          <w:b/>
          <w:i/>
          <w:color w:val="000000"/>
          <w:sz w:val="24"/>
        </w:rPr>
        <w:t>Company</w:t>
      </w:r>
      <w:r>
        <w:rPr>
          <w:color w:val="000000"/>
        </w:rPr>
        <w:t>”</w:t>
      </w:r>
      <w:r>
        <w:rPr>
          <w:rFonts w:ascii="sans-serif" w:hAnsi="sans-serif"/>
          <w:b w:val="false"/>
          <w:color w:val="000000"/>
          <w:sz w:val="24"/>
        </w:rPr>
        <w:t xml:space="preserve">), has granted to Participant an Option under the Company’s 2026 Incentive Award Plan, as may be amended from time to time (the </w:t>
      </w:r>
      <w:r>
        <w:rPr>
          <w:color w:val="000000"/>
        </w:rPr>
        <w:t>“</w:t>
      </w:r>
      <w:r>
        <w:rPr>
          <w:rFonts w:ascii="sans-serif" w:hAnsi="sans-serif"/>
          <w:b/>
          <w:i/>
          <w:color w:val="000000"/>
          <w:sz w:val="24"/>
        </w:rPr>
        <w:t>Plan</w:t>
      </w:r>
      <w:r>
        <w:rPr>
          <w:color w:val="000000"/>
        </w:rPr>
        <w:t>”</w:t>
      </w:r>
      <w:r>
        <w:rPr>
          <w:rFonts w:ascii="sans-serif" w:hAnsi="sans-serif"/>
          <w:b w:val="false"/>
          <w:color w:val="000000"/>
          <w:sz w:val="24"/>
        </w:rPr>
        <w:t>), to purchase the number of Shares indicated in the Grant Notice.</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XII.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GENERAL</w:t>
      </w:r>
    </w:p>
    <w:p>
      <w:pPr>
        <w:pStyle w:val="TextBody"/>
        <w:bidi w:val="0"/>
        <w:spacing w:lineRule="auto" w:line="288" w:before="0" w:after="240"/>
        <w:ind w:left="0" w:right="0" w:firstLine="720"/>
        <w:jc w:val="both"/>
        <w:rPr/>
      </w:pPr>
      <w:r>
        <w:rPr>
          <w:rFonts w:ascii="sans-serif" w:hAnsi="sans-serif"/>
          <w:b w:val="false"/>
          <w:color w:val="000000"/>
          <w:sz w:val="24"/>
        </w:rPr>
        <w:t>12.1    </w:t>
      </w:r>
      <w:r>
        <w:rPr>
          <w:rFonts w:ascii="sans-serif" w:hAnsi="sans-serif"/>
          <w:b w:val="false"/>
          <w:color w:val="000000"/>
          <w:sz w:val="24"/>
          <w:u w:val="single"/>
        </w:rPr>
        <w:t>Defined Terms</w:t>
      </w:r>
      <w:r>
        <w:rPr>
          <w:rFonts w:ascii="sans-serif" w:hAnsi="sans-serif"/>
          <w:b w:val="false"/>
          <w:color w:val="000000"/>
          <w:sz w:val="24"/>
        </w:rPr>
        <w:t>. Capitalized terms not specifically defined herein shall have the meanings specified in the Plan and the Grant Notice.</w:t>
      </w:r>
    </w:p>
    <w:p>
      <w:pPr>
        <w:pStyle w:val="TextBody"/>
        <w:bidi w:val="0"/>
        <w:spacing w:lineRule="auto" w:line="288" w:before="0" w:after="240"/>
        <w:ind w:left="0" w:right="0" w:firstLine="720"/>
        <w:jc w:val="both"/>
        <w:rPr/>
      </w:pPr>
      <w:r>
        <w:rPr>
          <w:rFonts w:ascii="sans-serif" w:hAnsi="sans-serif"/>
          <w:b w:val="false"/>
          <w:color w:val="000000"/>
          <w:sz w:val="24"/>
        </w:rPr>
        <w:t>12.2    </w:t>
      </w:r>
      <w:r>
        <w:rPr>
          <w:rFonts w:ascii="sans-serif" w:hAnsi="sans-serif"/>
          <w:b w:val="false"/>
          <w:color w:val="000000"/>
          <w:sz w:val="24"/>
          <w:u w:val="single"/>
        </w:rPr>
        <w:t>Incorporation of Terms of Plan</w:t>
      </w:r>
      <w:r>
        <w:rPr>
          <w:rFonts w:ascii="sans-serif" w:hAnsi="sans-serif"/>
          <w:b w:val="false"/>
          <w:color w:val="000000"/>
          <w:sz w:val="24"/>
        </w:rPr>
        <w:t>. The Option is subject to the terms and conditions of the Plan which are incorporated herein by reference. In the event of any inconsistency between the Plan and this Agreement, the terms of the Plan shall control. If the Country Provisions apply to Participant, in the event of a conflict between the terms of this Agreement, the Grant Notice or the Plan and the Country Provisions, the terms of the Country Provisions shall control.</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XIII.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GRANT OF OPTION</w:t>
      </w:r>
    </w:p>
    <w:p>
      <w:pPr>
        <w:pStyle w:val="TextBody"/>
        <w:bidi w:val="0"/>
        <w:spacing w:lineRule="auto" w:line="288" w:before="0" w:after="240"/>
        <w:ind w:left="0" w:right="0" w:firstLine="720"/>
        <w:jc w:val="both"/>
        <w:rPr/>
      </w:pPr>
      <w:r>
        <w:rPr>
          <w:rFonts w:ascii="sans-serif" w:hAnsi="sans-serif"/>
          <w:b w:val="false"/>
          <w:color w:val="000000"/>
          <w:sz w:val="24"/>
        </w:rPr>
        <w:t>13.1    </w:t>
      </w:r>
      <w:r>
        <w:rPr>
          <w:rFonts w:ascii="sans-serif" w:hAnsi="sans-serif"/>
          <w:b w:val="false"/>
          <w:color w:val="000000"/>
          <w:sz w:val="24"/>
          <w:u w:val="single"/>
        </w:rPr>
        <w:t>Grant of Option</w:t>
      </w:r>
      <w:r>
        <w:rPr>
          <w:rFonts w:ascii="sans-serif" w:hAnsi="sans-serif"/>
          <w:b w:val="false"/>
          <w:color w:val="000000"/>
          <w:sz w:val="24"/>
        </w:rPr>
        <w:t xml:space="preserve">. In consideration of Participant’s past and/or continued employment with or service to the Company or any Subsidiary and for other good and valuable consideration, effective as of the Grant Date set forth in the Grant Notice (the </w:t>
      </w:r>
      <w:r>
        <w:rPr>
          <w:color w:val="000000"/>
        </w:rPr>
        <w:t>“</w:t>
      </w:r>
      <w:r>
        <w:rPr>
          <w:rFonts w:ascii="sans-serif" w:hAnsi="sans-serif"/>
          <w:b/>
          <w:i/>
          <w:color w:val="000000"/>
          <w:sz w:val="24"/>
        </w:rPr>
        <w:t>Grant Date</w:t>
      </w:r>
      <w:r>
        <w:rPr>
          <w:color w:val="000000"/>
        </w:rPr>
        <w:t>”</w:t>
      </w:r>
      <w:r>
        <w:rPr>
          <w:rFonts w:ascii="sans-serif" w:hAnsi="sans-serif"/>
          <w:b w:val="false"/>
          <w:color w:val="000000"/>
          <w:sz w:val="24"/>
        </w:rPr>
        <w:t xml:space="preserve">), the Company irrevocably grants to Participant the Option to purchase any part or all of an aggregate of the number of Shares set forth in the Grant Notice, upon the terms and conditions set forth in the Plan, this Agreement, and the Country Provisions (if applicable), subject to adjustments as provided in Article IX of the Plan. </w:t>
      </w:r>
    </w:p>
    <w:p>
      <w:pPr>
        <w:pStyle w:val="TextBody"/>
        <w:bidi w:val="0"/>
        <w:spacing w:lineRule="auto" w:line="288" w:before="0" w:after="240"/>
        <w:ind w:left="0" w:right="0" w:firstLine="720"/>
        <w:jc w:val="both"/>
        <w:rPr/>
      </w:pPr>
      <w:r>
        <w:rPr>
          <w:rFonts w:ascii="sans-serif" w:hAnsi="sans-serif"/>
          <w:b w:val="false"/>
          <w:color w:val="000000"/>
          <w:sz w:val="24"/>
        </w:rPr>
        <w:t>13.2    </w:t>
      </w:r>
      <w:r>
        <w:rPr>
          <w:rFonts w:ascii="sans-serif" w:hAnsi="sans-serif"/>
          <w:b w:val="false"/>
          <w:color w:val="000000"/>
          <w:sz w:val="24"/>
          <w:u w:val="single"/>
        </w:rPr>
        <w:t>Exercise Price</w:t>
      </w:r>
      <w:r>
        <w:rPr>
          <w:rFonts w:ascii="sans-serif" w:hAnsi="sans-serif"/>
          <w:b w:val="false"/>
          <w:color w:val="000000"/>
          <w:sz w:val="24"/>
        </w:rPr>
        <w:t xml:space="preserve">. The exercise price of the Shares subject to the Option shall be as set forth in the Grant Notice, without commission or other charge; </w:t>
      </w:r>
      <w:r>
        <w:rPr>
          <w:rFonts w:ascii="sans-serif" w:hAnsi="sans-serif"/>
          <w:b w:val="false"/>
          <w:i/>
          <w:color w:val="000000"/>
          <w:sz w:val="24"/>
        </w:rPr>
        <w:t>provided</w:t>
      </w:r>
      <w:r>
        <w:rPr>
          <w:rFonts w:ascii="sans-serif" w:hAnsi="sans-serif"/>
          <w:b w:val="false"/>
          <w:color w:val="000000"/>
          <w:sz w:val="24"/>
        </w:rPr>
        <w:t xml:space="preserve">, </w:t>
      </w:r>
      <w:r>
        <w:rPr>
          <w:rFonts w:ascii="sans-serif" w:hAnsi="sans-serif"/>
          <w:b w:val="false"/>
          <w:i/>
          <w:color w:val="000000"/>
          <w:sz w:val="24"/>
        </w:rPr>
        <w:t>however</w:t>
      </w:r>
      <w:r>
        <w:rPr>
          <w:rFonts w:ascii="sans-serif" w:hAnsi="sans-serif"/>
          <w:b w:val="false"/>
          <w:color w:val="000000"/>
          <w:sz w:val="24"/>
        </w:rPr>
        <w:t>, that the exercise price per share of the Shares subject to the Option shall not be less than 100% of the Fair Market Value of a Share on the Grant Date. Notwithstanding the foregoing, if this Option is designated as an Incentive Stock Option and Participant is a Greater Than 10% Stockholder as of the Grant Date, the exercise price per share of the Shares subject to the Option shall not be less than 110% of the Fair Market Value of a Share on the Grant Date.</w:t>
      </w:r>
    </w:p>
    <w:p>
      <w:pPr>
        <w:pStyle w:val="TextBody"/>
        <w:bidi w:val="0"/>
        <w:spacing w:lineRule="auto" w:line="288" w:before="0" w:after="240"/>
        <w:ind w:left="0" w:right="0" w:firstLine="720"/>
        <w:jc w:val="both"/>
        <w:rPr/>
      </w:pPr>
      <w:r>
        <w:rPr>
          <w:rFonts w:ascii="sans-serif" w:hAnsi="sans-serif"/>
          <w:b w:val="false"/>
          <w:color w:val="000000"/>
          <w:sz w:val="24"/>
        </w:rPr>
        <w:t>13.3    </w:t>
      </w:r>
      <w:r>
        <w:rPr>
          <w:rFonts w:ascii="sans-serif" w:hAnsi="sans-serif"/>
          <w:b w:val="false"/>
          <w:color w:val="000000"/>
          <w:sz w:val="24"/>
          <w:u w:val="single"/>
        </w:rPr>
        <w:t>Consideration to the Company</w:t>
      </w:r>
      <w:r>
        <w:rPr>
          <w:rFonts w:ascii="sans-serif" w:hAnsi="sans-serif"/>
          <w:b w:val="false"/>
          <w:color w:val="000000"/>
          <w:sz w:val="24"/>
        </w:rPr>
        <w:t xml:space="preserve">. In consideration of the grant of the Option by the Company, Participant agrees to render faithful and efficient services to the Company and its Subsidiaries, as applicable.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2560"/>
                <wp:effectExtent l="0" t="0" r="0" b="0"/>
                <wp:wrapNone/>
                <wp:docPr id="38" name="Frame3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A-1</w:t>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XIV.</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PERIOD OF EXERCISABILITY</w:t>
      </w:r>
    </w:p>
    <w:p>
      <w:pPr>
        <w:pStyle w:val="TextBody"/>
        <w:bidi w:val="0"/>
        <w:spacing w:lineRule="auto" w:line="288" w:before="0" w:after="240"/>
        <w:ind w:left="0" w:right="0" w:firstLine="720"/>
        <w:jc w:val="both"/>
        <w:rPr/>
      </w:pPr>
      <w:r>
        <w:rPr>
          <w:rFonts w:ascii="sans-serif" w:hAnsi="sans-serif"/>
          <w:b w:val="false"/>
          <w:color w:val="000000"/>
          <w:sz w:val="24"/>
        </w:rPr>
        <w:t>14.1    </w:t>
      </w:r>
      <w:r>
        <w:rPr>
          <w:rFonts w:ascii="sans-serif" w:hAnsi="sans-serif"/>
          <w:b w:val="false"/>
          <w:color w:val="000000"/>
          <w:sz w:val="24"/>
          <w:u w:val="single"/>
        </w:rPr>
        <w:t>Commencement of Exercisability</w:t>
      </w:r>
      <w:r>
        <w:rPr>
          <w:rFonts w:ascii="sans-serif" w:hAnsi="sans-serif"/>
          <w:b w:val="false"/>
          <w:color w:val="000000"/>
          <w:sz w:val="24"/>
        </w:rPr>
        <w:t>.</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(a)    Subject to this Section 3.1 and Sections 3.2, 3.3, 5.11 and 5.17 hereof, the Option shall become vested and exercisable in such amounts and at such times as are set forth in the Grant Notice.</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(b)    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(or any Subsidiary that is the employer of Participant) and Participant. </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(c)    Notwithstanding Section 3.1(a) hereof and the Grant Notice, but subject to Section 3.1(b) hereof, in the event of a Change in Control the Option shall be treated pursuant to Sections 9.2 and 9.3 of the Plan. </w:t>
      </w:r>
    </w:p>
    <w:p>
      <w:pPr>
        <w:pStyle w:val="TextBody"/>
        <w:bidi w:val="0"/>
        <w:spacing w:lineRule="auto" w:line="288" w:before="0" w:after="240"/>
        <w:ind w:left="0" w:right="0" w:firstLine="720"/>
        <w:jc w:val="both"/>
        <w:rPr/>
      </w:pPr>
      <w:r>
        <w:rPr>
          <w:rFonts w:ascii="sans-serif" w:hAnsi="sans-serif"/>
          <w:b w:val="false"/>
          <w:color w:val="000000"/>
          <w:sz w:val="24"/>
        </w:rPr>
        <w:t>14.2    </w:t>
      </w:r>
      <w:r>
        <w:rPr>
          <w:rFonts w:ascii="sans-serif" w:hAnsi="sans-serif"/>
          <w:b w:val="false"/>
          <w:color w:val="000000"/>
          <w:sz w:val="24"/>
          <w:u w:val="single"/>
        </w:rPr>
        <w:t>Duration of Exercisability</w:t>
      </w:r>
      <w:r>
        <w:rPr>
          <w:rFonts w:ascii="sans-serif" w:hAnsi="sans-serif"/>
          <w:b w:val="false"/>
          <w:color w:val="000000"/>
          <w:sz w:val="24"/>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pStyle w:val="TextBody"/>
        <w:bidi w:val="0"/>
        <w:spacing w:lineRule="auto" w:line="288" w:before="0" w:after="240"/>
        <w:ind w:left="0" w:right="0" w:firstLine="720"/>
        <w:jc w:val="both"/>
        <w:rPr/>
      </w:pPr>
      <w:r>
        <w:rPr>
          <w:rFonts w:ascii="sans-serif" w:hAnsi="sans-serif"/>
          <w:b w:val="false"/>
          <w:color w:val="000000"/>
          <w:sz w:val="24"/>
        </w:rPr>
        <w:t>14.3    </w:t>
      </w:r>
      <w:r>
        <w:rPr>
          <w:rFonts w:ascii="sans-serif" w:hAnsi="sans-serif"/>
          <w:b w:val="false"/>
          <w:color w:val="000000"/>
          <w:sz w:val="24"/>
          <w:u w:val="single"/>
        </w:rPr>
        <w:t>Expiration of Option</w:t>
      </w:r>
      <w:r>
        <w:rPr>
          <w:rFonts w:ascii="sans-serif" w:hAnsi="sans-serif"/>
          <w:b w:val="false"/>
          <w:color w:val="000000"/>
          <w:sz w:val="24"/>
        </w:rPr>
        <w:t>. The Option may not be exercised to any extent by anyone after the first to occur of the following events:</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(a)    The Expiration Date set forth in the Grant Notice, which shall in no event be more than ten years from the Grant Date; </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(b)    If this Option is designated as an Incentive Stock Option and Participant, at the time the Option was granted, was a Greater Than 10% Stockholder, the expiration of five years from the Grant Date; </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(c)    The expiration of three months from the date of Participant’s Termination of Service, unless such termination occurs by reason of Participant’s death or Disability or by the Company for Cause; </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(d)    The expiration of one year from the date of Participant’s Termination of Service by reason of Participant’s death or Disability; or</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(e)    The date of Participant’s Termination of Service for Cause.</w:t>
      </w:r>
    </w:p>
    <w:p>
      <w:pPr>
        <w:pStyle w:val="TextBody"/>
        <w:bidi w:val="0"/>
        <w:spacing w:lineRule="auto" w:line="288" w:before="0" w:after="240"/>
        <w:ind w:left="0" w:right="0" w:firstLine="720"/>
        <w:jc w:val="both"/>
        <w:rPr/>
      </w:pPr>
      <w:r>
        <w:rPr>
          <w:rFonts w:ascii="sans-serif" w:hAnsi="sans-serif"/>
          <w:b w:val="false"/>
          <w:color w:val="000000"/>
          <w:sz w:val="24"/>
        </w:rPr>
        <w:t>14.4    </w:t>
      </w:r>
      <w:r>
        <w:rPr>
          <w:rFonts w:ascii="sans-serif" w:hAnsi="sans-serif"/>
          <w:b w:val="false"/>
          <w:color w:val="000000"/>
          <w:sz w:val="24"/>
          <w:u w:val="single"/>
        </w:rPr>
        <w:t>Special Tax Consequences of Incentive Stock Options</w:t>
      </w:r>
      <w:r>
        <w:rPr>
          <w:rFonts w:ascii="sans-serif" w:hAnsi="sans-serif"/>
          <w:b w:val="false"/>
          <w:color w:val="000000"/>
          <w:sz w:val="24"/>
        </w:rPr>
        <w:t xml:space="preserve">. Participant acknowledges that, to the extent that the aggregate Fair Market Value (determined as of the time the Option is granted) of all Shares with respect to which Incentive Stock Options, including the Option (if applicable), are exercisable for the first time by Participant in any calendar year exceeds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2560"/>
                <wp:effectExtent l="0" t="0" r="0" b="0"/>
                <wp:wrapNone/>
                <wp:docPr id="39" name="Frame3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A-2</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$100,000, the Option and such other options shall be Nonqualified Stock Options to the extent necessary to comply with the limitations imposed by Section 422(d) of the Code.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Participant also acknowledges that an Incentive Stock Option exercised more than three months after Participant’s Termination of Employment, other than by reason of death or Disability, will be taxed as a Nonqualified Stock Option.</w:t>
      </w:r>
    </w:p>
    <w:p>
      <w:pPr>
        <w:pStyle w:val="TextBody"/>
        <w:bidi w:val="0"/>
        <w:spacing w:lineRule="auto" w:line="288" w:before="0" w:after="240"/>
        <w:ind w:left="0" w:right="0" w:firstLine="720"/>
        <w:jc w:val="both"/>
        <w:rPr/>
      </w:pPr>
      <w:r>
        <w:rPr>
          <w:rFonts w:ascii="sans-serif" w:hAnsi="sans-serif"/>
          <w:b/>
          <w:color w:val="0000FF"/>
          <w:sz w:val="24"/>
        </w:rPr>
        <w:t>14.5    </w:t>
      </w:r>
      <w:r>
        <w:rPr>
          <w:rFonts w:ascii="sans-serif" w:hAnsi="sans-serif"/>
          <w:b/>
          <w:color w:val="000000"/>
          <w:sz w:val="24"/>
          <w:u w:val="single"/>
        </w:rPr>
        <w:t>Tax Indemnity.</w:t>
      </w:r>
      <w:r>
        <w:rPr>
          <w:color w:val="000000"/>
        </w:rPr>
        <w:t xml:space="preserve"> </w:t>
      </w:r>
    </w:p>
    <w:p>
      <w:pPr>
        <w:pStyle w:val="TextBody"/>
        <w:bidi w:val="0"/>
        <w:spacing w:lineRule="auto" w:line="288" w:before="0" w:after="240"/>
        <w:ind w:left="0" w:right="0" w:firstLine="1440"/>
        <w:jc w:val="both"/>
        <w:rPr/>
      </w:pPr>
      <w:r>
        <w:rPr>
          <w:rFonts w:ascii="sans-serif" w:hAnsi="sans-serif"/>
          <w:b/>
          <w:color w:val="000000"/>
          <w:sz w:val="24"/>
        </w:rPr>
        <w:t>(a)    </w:t>
      </w:r>
      <w:r>
        <w:rPr>
          <w:rFonts w:ascii="sans-serif" w:hAnsi="sans-serif"/>
          <w:b/>
          <w:color w:val="000000"/>
          <w:sz w:val="24"/>
          <w:u w:val="single"/>
        </w:rPr>
        <w:t>Participant agrees to hold harmless, indemnify and keep indemnified</w:t>
      </w:r>
      <w:r>
        <w:rPr>
          <w:color w:val="000000"/>
        </w:rPr>
        <w:t xml:space="preserve"> </w:t>
      </w:r>
      <w:r>
        <w:rPr>
          <w:rFonts w:ascii="sans-serif" w:hAnsi="sans-serif"/>
          <w:b/>
          <w:color w:val="000000"/>
          <w:sz w:val="24"/>
          <w:u w:val="single"/>
        </w:rPr>
        <w:t>the Company, any Subsidiary and Participant’s employing company, if different, from and</w:t>
      </w:r>
      <w:r>
        <w:rPr>
          <w:color w:val="000000"/>
        </w:rPr>
        <w:t xml:space="preserve"> </w:t>
      </w:r>
      <w:r>
        <w:rPr>
          <w:rFonts w:ascii="sans-serif" w:hAnsi="sans-serif"/>
          <w:b/>
          <w:color w:val="000000"/>
          <w:sz w:val="24"/>
          <w:u w:val="single"/>
        </w:rPr>
        <w:t>against any liability for or obligation to pay any Tax-Related Items that is attributable to (1)</w:t>
      </w:r>
      <w:r>
        <w:rPr>
          <w:color w:val="000000"/>
        </w:rPr>
        <w:t xml:space="preserve"> </w:t>
      </w:r>
      <w:r>
        <w:rPr>
          <w:rFonts w:ascii="sans-serif" w:hAnsi="sans-serif"/>
          <w:b/>
          <w:color w:val="000000"/>
          <w:sz w:val="24"/>
          <w:u w:val="single"/>
        </w:rPr>
        <w:t>the grant or exercise of, or any benefit derived by Participant from, the Option, (2) the</w:t>
      </w:r>
      <w:r>
        <w:rPr>
          <w:color w:val="000000"/>
        </w:rPr>
        <w:t xml:space="preserve"> </w:t>
      </w:r>
      <w:r>
        <w:rPr>
          <w:rFonts w:ascii="sans-serif" w:hAnsi="sans-serif"/>
          <w:b/>
          <w:color w:val="000000"/>
          <w:sz w:val="24"/>
          <w:u w:val="single"/>
        </w:rPr>
        <w:t>acquisition by Participant of the Shares on exercise of the Option or (3) the disposal of any</w:t>
      </w:r>
      <w:r>
        <w:rPr>
          <w:color w:val="000000"/>
        </w:rPr>
        <w:t xml:space="preserve"> </w:t>
      </w:r>
      <w:r>
        <w:rPr>
          <w:rFonts w:ascii="sans-serif" w:hAnsi="sans-serif"/>
          <w:b/>
          <w:color w:val="000000"/>
          <w:sz w:val="24"/>
          <w:u w:val="single"/>
        </w:rPr>
        <w:t>Shares.</w:t>
      </w:r>
    </w:p>
    <w:p>
      <w:pPr>
        <w:pStyle w:val="TextBody"/>
        <w:bidi w:val="0"/>
        <w:spacing w:lineRule="auto" w:line="288" w:before="0" w:after="240"/>
        <w:ind w:left="0" w:right="0" w:firstLine="1440"/>
        <w:jc w:val="both"/>
        <w:rPr/>
      </w:pPr>
      <w:r>
        <w:rPr>
          <w:rFonts w:ascii="sans-serif" w:hAnsi="sans-serif"/>
          <w:b w:val="false"/>
          <w:color w:val="000000"/>
          <w:sz w:val="24"/>
        </w:rPr>
        <w:t>(b)    </w:t>
      </w:r>
      <w:r>
        <w:rPr>
          <w:rFonts w:ascii="sans-serif" w:hAnsi="sans-serif"/>
          <w:b/>
          <w:color w:val="000000"/>
          <w:sz w:val="24"/>
          <w:u w:val="single"/>
        </w:rPr>
        <w:t>The Option cannot be exercised until Participant has made such</w:t>
      </w:r>
      <w:r>
        <w:rPr>
          <w:color w:val="000000"/>
        </w:rPr>
        <w:t xml:space="preserve"> </w:t>
      </w:r>
      <w:r>
        <w:rPr>
          <w:rFonts w:ascii="sans-serif" w:hAnsi="sans-serif"/>
          <w:b/>
          <w:color w:val="000000"/>
          <w:sz w:val="24"/>
          <w:u w:val="single"/>
        </w:rPr>
        <w:t>arrangements as the Company may require for the satisfaction of any Tax-Related Items that</w:t>
      </w:r>
      <w:r>
        <w:rPr>
          <w:color w:val="000000"/>
        </w:rPr>
        <w:t xml:space="preserve"> </w:t>
      </w:r>
      <w:r>
        <w:rPr>
          <w:rFonts w:ascii="sans-serif" w:hAnsi="sans-serif"/>
          <w:b/>
          <w:color w:val="000000"/>
          <w:sz w:val="24"/>
          <w:u w:val="single"/>
        </w:rPr>
        <w:t>may arise in connection with the exercise of the Option or the acquisition of the Shares by</w:t>
      </w:r>
      <w:r>
        <w:rPr>
          <w:color w:val="000000"/>
        </w:rPr>
        <w:t xml:space="preserve"> </w:t>
      </w:r>
      <w:r>
        <w:rPr>
          <w:rFonts w:ascii="sans-serif" w:hAnsi="sans-serif"/>
          <w:b/>
          <w:color w:val="000000"/>
          <w:sz w:val="24"/>
          <w:u w:val="single"/>
        </w:rPr>
        <w:t>Participant. The Company shall not be required to issue, allot or transfer Shares until</w:t>
      </w:r>
      <w:r>
        <w:rPr>
          <w:color w:val="000000"/>
        </w:rPr>
        <w:t xml:space="preserve"> </w:t>
      </w:r>
      <w:r>
        <w:rPr>
          <w:rFonts w:ascii="sans-serif" w:hAnsi="sans-serif"/>
          <w:b/>
          <w:color w:val="000000"/>
          <w:sz w:val="24"/>
          <w:u w:val="single"/>
        </w:rPr>
        <w:t>Participant has satisfied this obligation.</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(c)    Participant hereby acknowledges that the Company (i) makes no representations or undertakings regarding the treatment of any Tax-Related Items in connection with any aspect of the Option and (ii) does not commit to and is under no obligation to structure the terms of the grant or any aspect of any Award, including the Option, to reduce or eliminate Participant’s liability for Tax-Related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Tax-Related Items in more than one jurisdiction.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XV.</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EXERCISE OF OPTION</w:t>
      </w:r>
    </w:p>
    <w:p>
      <w:pPr>
        <w:pStyle w:val="TextBody"/>
        <w:bidi w:val="0"/>
        <w:spacing w:lineRule="auto" w:line="288" w:before="0" w:after="240"/>
        <w:ind w:left="0" w:right="0" w:firstLine="720"/>
        <w:jc w:val="both"/>
        <w:rPr/>
      </w:pPr>
      <w:r>
        <w:rPr>
          <w:rFonts w:ascii="sans-serif" w:hAnsi="sans-serif"/>
          <w:b w:val="false"/>
          <w:color w:val="000000"/>
          <w:sz w:val="24"/>
        </w:rPr>
        <w:t>15.1    </w:t>
      </w:r>
      <w:r>
        <w:rPr>
          <w:rFonts w:ascii="sans-serif" w:hAnsi="sans-serif"/>
          <w:b w:val="false"/>
          <w:color w:val="000000"/>
          <w:sz w:val="24"/>
          <w:u w:val="single"/>
        </w:rPr>
        <w:t>Person Eligible to Exercise</w:t>
      </w:r>
      <w:r>
        <w:rPr>
          <w:rFonts w:ascii="sans-serif" w:hAnsi="sans-serif"/>
          <w:b w:val="false"/>
          <w:color w:val="000000"/>
          <w:sz w:val="24"/>
        </w:rPr>
        <w:t>.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2560"/>
                <wp:effectExtent l="0" t="0" r="0" b="0"/>
                <wp:wrapNone/>
                <wp:docPr id="40" name="Frame3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A-3</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4"/>
        </w:rPr>
        <w:t>15.2    </w:t>
      </w:r>
      <w:r>
        <w:rPr>
          <w:rFonts w:ascii="sans-serif" w:hAnsi="sans-serif"/>
          <w:b w:val="false"/>
          <w:color w:val="000000"/>
          <w:sz w:val="24"/>
          <w:u w:val="single"/>
        </w:rPr>
        <w:t>Partial Exercise</w:t>
      </w:r>
      <w:r>
        <w:rPr>
          <w:rFonts w:ascii="sans-serif" w:hAnsi="sans-serif"/>
          <w:b w:val="false"/>
          <w:color w:val="000000"/>
          <w:sz w:val="24"/>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pStyle w:val="TextBody"/>
        <w:bidi w:val="0"/>
        <w:spacing w:lineRule="auto" w:line="288" w:before="0" w:after="240"/>
        <w:ind w:left="0" w:right="0" w:firstLine="720"/>
        <w:jc w:val="both"/>
        <w:rPr/>
      </w:pPr>
      <w:r>
        <w:rPr>
          <w:rFonts w:ascii="sans-serif" w:hAnsi="sans-serif"/>
          <w:b w:val="false"/>
          <w:color w:val="000000"/>
          <w:sz w:val="24"/>
        </w:rPr>
        <w:t>15.3    </w:t>
      </w:r>
      <w:r>
        <w:rPr>
          <w:rFonts w:ascii="sans-serif" w:hAnsi="sans-serif"/>
          <w:b w:val="false"/>
          <w:color w:val="000000"/>
          <w:sz w:val="24"/>
          <w:u w:val="single"/>
        </w:rPr>
        <w:t>Manner of Exercise</w:t>
      </w:r>
      <w:r>
        <w:rPr>
          <w:rFonts w:ascii="sans-serif" w:hAnsi="sans-serif"/>
          <w:b w:val="false"/>
          <w:color w:val="000000"/>
          <w:sz w:val="24"/>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(a)    An exercise notice in a form specified by the Administrator (which may be in paper or electronic form), stating that the Option or portion thereof is thereby exercised, such notice complying with all applicable rules established by the Administrator. The notice shall be signed by Participant or other person then entitled to exercise the Option or such portion of the Option; </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 xml:space="preserve">(b)    The receipt by the Company of full payment for the Shares with respect to which the Option or portion thereof is exercised, including payment of any applicable Tax-Related Items, which shall be made by deduction from other compensation payable to Participant or in such other form of consideration permitted under Section 4.4 hereof that is acceptable to the Company; </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(c)    Any other written representations or documents as may be required in the Administrator’s sole discretion to evidence compliance with the Securities Act, the Exchange Act or any other Applicable Law; and</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(d)    In the event the Option or portion thereof shall be exercised pursuant to Section 4.1 hereof by any person or persons other than Participant, appropriate proof of the right of such person or persons to exercise the Option.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Notwithstanding any of the foregoing, the Company shall have the right to specify all conditions of the manner of exercise, which conditions may vary by country and which may be subject to change from time to time.</w:t>
      </w:r>
    </w:p>
    <w:p>
      <w:pPr>
        <w:pStyle w:val="TextBody"/>
        <w:bidi w:val="0"/>
        <w:spacing w:lineRule="auto" w:line="288" w:before="0" w:after="240"/>
        <w:ind w:left="0" w:right="0" w:firstLine="720"/>
        <w:jc w:val="both"/>
        <w:rPr/>
      </w:pPr>
      <w:r>
        <w:rPr>
          <w:rFonts w:ascii="sans-serif" w:hAnsi="sans-serif"/>
          <w:b w:val="false"/>
          <w:color w:val="000000"/>
          <w:sz w:val="24"/>
        </w:rPr>
        <w:t>15.4    </w:t>
      </w:r>
      <w:r>
        <w:rPr>
          <w:rFonts w:ascii="sans-serif" w:hAnsi="sans-serif"/>
          <w:b w:val="false"/>
          <w:color w:val="000000"/>
          <w:sz w:val="24"/>
          <w:u w:val="single"/>
        </w:rPr>
        <w:t>Method of Payment</w:t>
      </w:r>
      <w:r>
        <w:rPr>
          <w:rFonts w:ascii="sans-serif" w:hAnsi="sans-serif"/>
          <w:b w:val="false"/>
          <w:color w:val="000000"/>
          <w:sz w:val="24"/>
        </w:rPr>
        <w:t>. Payment of the exercise price shall be by any of the following, or a combination thereof, at the election of Participant:</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(a)    Cash or check;</w:t>
      </w:r>
    </w:p>
    <w:p>
      <w:pPr>
        <w:pStyle w:val="TextBody"/>
        <w:bidi w:val="0"/>
        <w:spacing w:lineRule="auto" w:line="288" w:before="0" w:after="240"/>
        <w:ind w:left="0" w:right="0" w:firstLine="1440"/>
        <w:jc w:val="both"/>
        <w:rPr>
          <w:rFonts w:ascii="sans-serif" w:hAnsi="sans-serif"/>
          <w:b w:val="false"/>
          <w:color w:val="000000"/>
          <w:sz w:val="24"/>
        </w:rPr>
      </w:pPr>
      <w:r>
        <w:rPr>
          <w:rFonts w:ascii="sans-serif" w:hAnsi="sans-serif"/>
          <w:b w:val="false"/>
          <w:color w:val="000000"/>
          <w:sz w:val="24"/>
        </w:rPr>
        <w:t>(b)    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2560"/>
                <wp:effectExtent l="0" t="0" r="0" b="0"/>
                <wp:wrapNone/>
                <wp:docPr id="41" name="Frame3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A-4</w:t>
                      </w:r>
                    </w:p>
                  </w:txbxContent>
                </v:textbox>
                <w10:wrap type="none"/>
              </v:rect>
            </w:pict>
          </mc:Fallback>
        </mc:AlternateContent>
      </w:r>
    </w:p>
    <w:p>
      <w:pPr>
        <w:pStyle w:val="TextBody"/>
        <w:bidi w:val="0"/>
        <w:spacing w:lineRule="auto" w:line="288" w:before="0" w:after="240"/>
        <w:ind w:left="0" w:right="0" w:firstLine="1440"/>
        <w:jc w:val="both"/>
        <w:rPr/>
      </w:pPr>
      <w:r>
        <w:rPr>
          <w:rFonts w:ascii="sans-serif" w:hAnsi="sans-serif"/>
          <w:b w:val="false"/>
          <w:color w:val="000000"/>
          <w:sz w:val="24"/>
        </w:rPr>
        <w:t xml:space="preserve">(c)    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sans-serif" w:hAnsi="sans-serif"/>
          <w:b w:val="false"/>
          <w:i/>
          <w:color w:val="000000"/>
          <w:sz w:val="24"/>
        </w:rPr>
        <w:t>provided</w:t>
      </w:r>
      <w:r>
        <w:rPr>
          <w:color w:val="000000"/>
        </w:rPr>
        <w:t xml:space="preserve"> </w:t>
      </w:r>
      <w:r>
        <w:rPr>
          <w:rFonts w:ascii="sans-serif" w:hAnsi="sans-serif"/>
          <w:b w:val="false"/>
          <w:color w:val="000000"/>
          <w:sz w:val="24"/>
        </w:rPr>
        <w:t>that payment of such proceeds is then made to the Company at such time as may be required by the Company, but in any event not later than the settlement of such sale).</w:t>
      </w:r>
    </w:p>
    <w:p>
      <w:pPr>
        <w:pStyle w:val="TextBody"/>
        <w:bidi w:val="0"/>
        <w:spacing w:lineRule="auto" w:line="288" w:before="0" w:after="240"/>
        <w:ind w:left="0" w:right="0" w:firstLine="720"/>
        <w:jc w:val="both"/>
        <w:rPr/>
      </w:pPr>
      <w:r>
        <w:rPr>
          <w:rFonts w:ascii="sans-serif" w:hAnsi="sans-serif"/>
          <w:b w:val="false"/>
          <w:color w:val="000000"/>
          <w:sz w:val="24"/>
        </w:rPr>
        <w:t>15.5    </w:t>
      </w:r>
      <w:r>
        <w:rPr>
          <w:rFonts w:ascii="sans-serif" w:hAnsi="sans-serif"/>
          <w:b w:val="false"/>
          <w:color w:val="000000"/>
          <w:sz w:val="24"/>
          <w:u w:val="single"/>
        </w:rPr>
        <w:t>Conditions to Issuance of Shares</w:t>
      </w:r>
      <w:r>
        <w:rPr>
          <w:rFonts w:ascii="sans-serif" w:hAnsi="sans-serif"/>
          <w:b w:val="false"/>
          <w:color w:val="000000"/>
          <w:sz w:val="24"/>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w:t>
      </w:r>
    </w:p>
    <w:p>
      <w:pPr>
        <w:pStyle w:val="TextBody"/>
        <w:bidi w:val="0"/>
        <w:spacing w:lineRule="auto" w:line="288" w:before="0" w:after="240"/>
        <w:ind w:left="0" w:right="0" w:firstLine="720"/>
        <w:jc w:val="both"/>
        <w:rPr/>
      </w:pPr>
      <w:r>
        <w:rPr>
          <w:rFonts w:ascii="sans-serif" w:hAnsi="sans-serif"/>
          <w:b w:val="false"/>
          <w:color w:val="000000"/>
          <w:sz w:val="24"/>
        </w:rPr>
        <w:t>15.6    </w:t>
      </w:r>
      <w:r>
        <w:rPr>
          <w:rFonts w:ascii="sans-serif" w:hAnsi="sans-serif"/>
          <w:b w:val="false"/>
          <w:color w:val="000000"/>
          <w:sz w:val="24"/>
          <w:u w:val="single"/>
        </w:rPr>
        <w:t>Participant’s Representations</w:t>
      </w:r>
      <w:r>
        <w:rPr>
          <w:rFonts w:ascii="sans-serif" w:hAnsi="sans-serif"/>
          <w:b w:val="false"/>
          <w:color w:val="000000"/>
          <w:sz w:val="24"/>
        </w:rPr>
        <w:t>. If the Shares issuable hereunder have not been registered under the Securities Act or any applicable state laws on an effective registration statement at the time of exercise, Participant shall, if required by the Company, concurrently with such exercise, make such written representations as are deemed necessary or appropriate by the Company or its counsel.</w:t>
      </w:r>
    </w:p>
    <w:p>
      <w:pPr>
        <w:pStyle w:val="TextBody"/>
        <w:bidi w:val="0"/>
        <w:spacing w:lineRule="auto" w:line="288" w:before="0" w:after="240"/>
        <w:ind w:left="0" w:right="0" w:firstLine="720"/>
        <w:jc w:val="both"/>
        <w:rPr/>
      </w:pPr>
      <w:r>
        <w:rPr>
          <w:rFonts w:ascii="sans-serif" w:hAnsi="sans-serif"/>
          <w:b w:val="false"/>
          <w:color w:val="000000"/>
          <w:sz w:val="24"/>
        </w:rPr>
        <w:t>15.7    </w:t>
      </w:r>
      <w:r>
        <w:rPr>
          <w:rFonts w:ascii="sans-serif" w:hAnsi="sans-serif"/>
          <w:b w:val="false"/>
          <w:color w:val="000000"/>
          <w:sz w:val="24"/>
          <w:u w:val="single"/>
        </w:rPr>
        <w:t>Rights as Stockholder</w:t>
      </w:r>
      <w:r>
        <w:rPr>
          <w:rFonts w:ascii="sans-serif" w:hAnsi="sans-serif"/>
          <w:b w:val="false"/>
          <w:color w:val="000000"/>
          <w:sz w:val="24"/>
        </w:rPr>
        <w:t xml:space="preserve">.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 </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XVI.</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OTHER PROVISIONS</w:t>
      </w:r>
    </w:p>
    <w:p>
      <w:pPr>
        <w:pStyle w:val="TextBody"/>
        <w:bidi w:val="0"/>
        <w:spacing w:lineRule="auto" w:line="288" w:before="0" w:after="240"/>
        <w:ind w:left="0" w:right="0" w:firstLine="720"/>
        <w:jc w:val="both"/>
        <w:rPr/>
      </w:pPr>
      <w:r>
        <w:rPr>
          <w:rFonts w:ascii="sans-serif" w:hAnsi="sans-serif"/>
          <w:b w:val="false"/>
          <w:color w:val="000000"/>
          <w:sz w:val="24"/>
        </w:rPr>
        <w:t>16.1    </w:t>
      </w:r>
      <w:r>
        <w:rPr>
          <w:rFonts w:ascii="sans-serif" w:hAnsi="sans-serif"/>
          <w:b w:val="false"/>
          <w:color w:val="000000"/>
          <w:sz w:val="24"/>
          <w:u w:val="single"/>
        </w:rPr>
        <w:t>Administration</w:t>
      </w:r>
      <w:r>
        <w:rPr>
          <w:rFonts w:ascii="sans-serif" w:hAnsi="sans-serif"/>
          <w:b w:val="false"/>
          <w:color w:val="000000"/>
          <w:sz w:val="24"/>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 </w:t>
      </w:r>
    </w:p>
    <w:p>
      <w:pPr>
        <w:pStyle w:val="TextBody"/>
        <w:bidi w:val="0"/>
        <w:spacing w:lineRule="auto" w:line="288" w:before="0" w:after="240"/>
        <w:ind w:left="0" w:right="0" w:firstLine="720"/>
        <w:jc w:val="both"/>
        <w:rPr/>
      </w:pPr>
      <w:r>
        <w:rPr>
          <w:rFonts w:ascii="sans-serif" w:hAnsi="sans-serif"/>
          <w:b w:val="false"/>
          <w:color w:val="000000"/>
          <w:sz w:val="24"/>
        </w:rPr>
        <w:t>16.2    </w:t>
      </w:r>
      <w:r>
        <w:rPr>
          <w:rFonts w:ascii="sans-serif" w:hAnsi="sans-serif"/>
          <w:b w:val="false"/>
          <w:color w:val="000000"/>
          <w:sz w:val="24"/>
          <w:u w:val="single"/>
        </w:rPr>
        <w:t>Whole Shares</w:t>
      </w:r>
      <w:r>
        <w:rPr>
          <w:rFonts w:ascii="sans-serif" w:hAnsi="sans-serif"/>
          <w:b w:val="false"/>
          <w:color w:val="000000"/>
          <w:sz w:val="24"/>
        </w:rPr>
        <w:t xml:space="preserve">. The Option may only be exercised for whole Shares. </w:t>
      </w:r>
    </w:p>
    <w:p>
      <w:pPr>
        <w:pStyle w:val="TextBody"/>
        <w:bidi w:val="0"/>
        <w:spacing w:lineRule="auto" w:line="288" w:before="0" w:after="240"/>
        <w:ind w:left="0" w:right="0" w:firstLine="720"/>
        <w:jc w:val="both"/>
        <w:rPr/>
      </w:pPr>
      <w:r>
        <w:rPr>
          <w:rFonts w:ascii="sans-serif" w:hAnsi="sans-serif"/>
          <w:b w:val="false"/>
          <w:color w:val="000000"/>
          <w:sz w:val="24"/>
        </w:rPr>
        <w:t>16.3    </w:t>
      </w:r>
      <w:r>
        <w:rPr>
          <w:rFonts w:ascii="sans-serif" w:hAnsi="sans-serif"/>
          <w:b w:val="false"/>
          <w:color w:val="000000"/>
          <w:sz w:val="24"/>
          <w:u w:val="single"/>
        </w:rPr>
        <w:t>Transferability</w:t>
      </w:r>
      <w:r>
        <w:rPr>
          <w:rFonts w:ascii="sans-serif" w:hAnsi="sans-serif"/>
          <w:b w:val="false"/>
          <w:color w:val="000000"/>
          <w:sz w:val="24"/>
        </w:rPr>
        <w:t>. The Option shall be subject to the restrictions on transferability set forth in Section 10.1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2560"/>
                <wp:effectExtent l="0" t="0" r="0" b="0"/>
                <wp:wrapNone/>
                <wp:docPr id="42" name="Frame4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A-5</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4"/>
        </w:rPr>
        <w:t>16.4    </w:t>
      </w:r>
      <w:r>
        <w:rPr>
          <w:rFonts w:ascii="sans-serif" w:hAnsi="sans-serif"/>
          <w:b w:val="false"/>
          <w:color w:val="000000"/>
          <w:sz w:val="24"/>
          <w:u w:val="single"/>
        </w:rPr>
        <w:t>Tax Consultation</w:t>
      </w:r>
      <w:r>
        <w:rPr>
          <w:rFonts w:ascii="sans-serif" w:hAnsi="sans-serif"/>
          <w:b w:val="false"/>
          <w:color w:val="000000"/>
          <w:sz w:val="24"/>
        </w:rPr>
        <w:t>. Participant understands that Participant may suffer adverse tax consequences as a result of the grant, vesting or exercise of the Option, or with the purchase or disposition of the Shares subject to the Option. Participant represents that Participant has consulted with any tax consultants Participant deems advisable in connection with the purchase or disposition of such Shares and that Participant is not relying on the Company for any tax advice.</w:t>
      </w:r>
    </w:p>
    <w:p>
      <w:pPr>
        <w:pStyle w:val="TextBody"/>
        <w:bidi w:val="0"/>
        <w:spacing w:lineRule="auto" w:line="288" w:before="0" w:after="240"/>
        <w:ind w:left="0" w:right="0" w:firstLine="720"/>
        <w:jc w:val="both"/>
        <w:rPr/>
      </w:pPr>
      <w:r>
        <w:rPr>
          <w:rFonts w:ascii="sans-serif" w:hAnsi="sans-serif"/>
          <w:b w:val="false"/>
          <w:color w:val="000000"/>
          <w:sz w:val="24"/>
        </w:rPr>
        <w:t>16.5    </w:t>
      </w:r>
      <w:r>
        <w:rPr>
          <w:rFonts w:ascii="sans-serif" w:hAnsi="sans-serif"/>
          <w:b w:val="false"/>
          <w:color w:val="000000"/>
          <w:sz w:val="24"/>
          <w:u w:val="single"/>
        </w:rPr>
        <w:t>Binding Agreement</w:t>
      </w:r>
      <w:r>
        <w:rPr>
          <w:rFonts w:ascii="sans-serif" w:hAnsi="sans-serif"/>
          <w:b w:val="false"/>
          <w:color w:val="000000"/>
          <w:sz w:val="24"/>
        </w:rPr>
        <w:t>. Subject to the limitation on the transferability of the Option contained herein, this Agreement will be binding upon and inure to the benefit of the heirs, legatees, legal representatives, successors and assigns of the parties hereto.</w:t>
      </w:r>
    </w:p>
    <w:p>
      <w:pPr>
        <w:pStyle w:val="TextBody"/>
        <w:bidi w:val="0"/>
        <w:spacing w:lineRule="auto" w:line="288" w:before="0" w:after="240"/>
        <w:ind w:left="0" w:right="0" w:firstLine="720"/>
        <w:jc w:val="both"/>
        <w:rPr/>
      </w:pPr>
      <w:r>
        <w:rPr>
          <w:rFonts w:ascii="sans-serif" w:hAnsi="sans-serif"/>
          <w:b w:val="false"/>
          <w:color w:val="000000"/>
          <w:sz w:val="24"/>
        </w:rPr>
        <w:t>16.6    </w:t>
      </w:r>
      <w:r>
        <w:rPr>
          <w:rFonts w:ascii="sans-serif" w:hAnsi="sans-serif"/>
          <w:b w:val="false"/>
          <w:color w:val="000000"/>
          <w:sz w:val="24"/>
          <w:u w:val="single"/>
        </w:rPr>
        <w:t>Adjustments Upon Specified Events</w:t>
      </w:r>
      <w:r>
        <w:rPr>
          <w:rFonts w:ascii="sans-serif" w:hAnsi="sans-serif"/>
          <w:b w:val="false"/>
          <w:color w:val="000000"/>
          <w:sz w:val="24"/>
        </w:rPr>
        <w:t>. The Administrator may accelerate the vesting of the Option in such circumstances as it, in its sole discretion, may determine. Participant acknowledges that the Option is subject to adjustment, modification and termination in certain events as provided in this Agreement and Article IX of the Plan.</w:t>
      </w:r>
    </w:p>
    <w:p>
      <w:pPr>
        <w:pStyle w:val="TextBody"/>
        <w:bidi w:val="0"/>
        <w:spacing w:lineRule="auto" w:line="288" w:before="0" w:after="240"/>
        <w:ind w:left="0" w:right="0" w:firstLine="720"/>
        <w:jc w:val="both"/>
        <w:rPr/>
      </w:pPr>
      <w:r>
        <w:rPr>
          <w:rFonts w:ascii="sans-serif" w:hAnsi="sans-serif"/>
          <w:b w:val="false"/>
          <w:color w:val="000000"/>
          <w:sz w:val="24"/>
        </w:rPr>
        <w:t>16.7    </w:t>
      </w:r>
      <w:r>
        <w:rPr>
          <w:rFonts w:ascii="sans-serif" w:hAnsi="sans-serif"/>
          <w:b w:val="false"/>
          <w:color w:val="000000"/>
          <w:sz w:val="24"/>
          <w:u w:val="single"/>
        </w:rPr>
        <w:t>Notices</w:t>
      </w:r>
      <w:r>
        <w:rPr>
          <w:rFonts w:ascii="sans-serif" w:hAnsi="sans-serif"/>
          <w:b w:val="false"/>
          <w:color w:val="000000"/>
          <w:sz w:val="24"/>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 (or similar non-U.S. entity).</w:t>
      </w:r>
    </w:p>
    <w:p>
      <w:pPr>
        <w:pStyle w:val="TextBody"/>
        <w:bidi w:val="0"/>
        <w:spacing w:lineRule="auto" w:line="288" w:before="0" w:after="240"/>
        <w:ind w:left="0" w:right="0" w:firstLine="720"/>
        <w:jc w:val="both"/>
        <w:rPr/>
      </w:pPr>
      <w:r>
        <w:rPr>
          <w:rFonts w:ascii="sans-serif" w:hAnsi="sans-serif"/>
          <w:b w:val="false"/>
          <w:color w:val="000000"/>
          <w:sz w:val="24"/>
        </w:rPr>
        <w:t>16.8    </w:t>
      </w:r>
      <w:r>
        <w:rPr>
          <w:rFonts w:ascii="sans-serif" w:hAnsi="sans-serif"/>
          <w:b w:val="false"/>
          <w:color w:val="000000"/>
          <w:sz w:val="24"/>
          <w:u w:val="single"/>
        </w:rPr>
        <w:t>Titles</w:t>
      </w:r>
      <w:r>
        <w:rPr>
          <w:rFonts w:ascii="sans-serif" w:hAnsi="sans-serif"/>
          <w:b w:val="false"/>
          <w:color w:val="000000"/>
          <w:sz w:val="24"/>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sans-serif" w:hAnsi="sans-serif"/>
          <w:b w:val="false"/>
          <w:color w:val="000000"/>
          <w:sz w:val="24"/>
        </w:rPr>
        <w:t>16.9    </w:t>
      </w:r>
      <w:r>
        <w:rPr>
          <w:rFonts w:ascii="sans-serif" w:hAnsi="sans-serif"/>
          <w:b w:val="false"/>
          <w:color w:val="000000"/>
          <w:sz w:val="24"/>
          <w:u w:val="single"/>
        </w:rPr>
        <w:t>Governing Law</w:t>
      </w:r>
      <w:r>
        <w:rPr>
          <w:rFonts w:ascii="sans-serif" w:hAnsi="sans-serif"/>
          <w:b w:val="false"/>
          <w:color w:val="000000"/>
          <w:sz w:val="24"/>
        </w:rPr>
        <w:t xml:space="preserve">. The laws of the State of Delaware shall govern the interpretation, validity, administration, enforcement 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2560"/>
                <wp:effectExtent l="0" t="0" r="0" b="0"/>
                <wp:wrapNone/>
                <wp:docPr id="43" name="Frame4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A-6</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pStyle w:val="TextBody"/>
        <w:bidi w:val="0"/>
        <w:spacing w:lineRule="auto" w:line="288" w:before="0" w:after="240"/>
        <w:ind w:left="0" w:right="0" w:firstLine="720"/>
        <w:jc w:val="both"/>
        <w:rPr/>
      </w:pPr>
      <w:r>
        <w:rPr>
          <w:rFonts w:ascii="sans-serif" w:hAnsi="sans-serif"/>
          <w:b w:val="false"/>
          <w:color w:val="000000"/>
          <w:sz w:val="24"/>
        </w:rPr>
        <w:t>16.10    </w:t>
      </w:r>
      <w:r>
        <w:rPr>
          <w:rFonts w:ascii="sans-serif" w:hAnsi="sans-serif"/>
          <w:b w:val="false"/>
          <w:color w:val="000000"/>
          <w:sz w:val="24"/>
          <w:u w:val="single"/>
        </w:rPr>
        <w:t>Conformity to Securities Laws</w:t>
      </w:r>
      <w:r>
        <w:rPr>
          <w:rFonts w:ascii="sans-serif" w:hAnsi="sans-serif"/>
          <w:b w:val="false"/>
          <w:color w:val="000000"/>
          <w:sz w:val="24"/>
        </w:rPr>
        <w:t>.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pStyle w:val="TextBody"/>
        <w:bidi w:val="0"/>
        <w:spacing w:lineRule="auto" w:line="288" w:before="0" w:after="240"/>
        <w:ind w:left="0" w:right="0" w:firstLine="720"/>
        <w:jc w:val="both"/>
        <w:rPr/>
      </w:pPr>
      <w:r>
        <w:rPr>
          <w:rFonts w:ascii="sans-serif" w:hAnsi="sans-serif"/>
          <w:b w:val="false"/>
          <w:color w:val="000000"/>
          <w:sz w:val="24"/>
        </w:rPr>
        <w:t>16.11    </w:t>
      </w:r>
      <w:r>
        <w:rPr>
          <w:rFonts w:ascii="sans-serif" w:hAnsi="sans-serif"/>
          <w:b w:val="false"/>
          <w:color w:val="000000"/>
          <w:sz w:val="24"/>
          <w:u w:val="single"/>
        </w:rPr>
        <w:t>Amendment, Suspension and Termination</w:t>
      </w:r>
      <w:r>
        <w:rPr>
          <w:rFonts w:ascii="sans-serif" w:hAnsi="sans-serif"/>
          <w:b w:val="false"/>
          <w:color w:val="000000"/>
          <w:sz w:val="24"/>
        </w:rPr>
        <w:t>. To the extent permitted by the Plan, this Agreement may be wholly or partially amended or otherwise modified, suspended or terminated at any time or from time to time by the Administrator or the Board;</w:t>
      </w:r>
      <w:r>
        <w:rPr>
          <w:color w:val="000000"/>
        </w:rPr>
        <w:t xml:space="preserve"> </w:t>
      </w:r>
      <w:r>
        <w:rPr>
          <w:rFonts w:ascii="sans-serif" w:hAnsi="sans-serif"/>
          <w:b w:val="false"/>
          <w:i/>
          <w:color w:val="000000"/>
          <w:sz w:val="24"/>
        </w:rPr>
        <w:t>provided, however,</w:t>
      </w:r>
      <w:r>
        <w:rPr>
          <w:color w:val="000000"/>
        </w:rPr>
        <w:t xml:space="preserve"> </w:t>
      </w:r>
      <w:r>
        <w:rPr>
          <w:rFonts w:ascii="sans-serif" w:hAnsi="sans-serif"/>
          <w:b w:val="false"/>
          <w:color w:val="000000"/>
          <w:sz w:val="24"/>
        </w:rPr>
        <w:t xml:space="preserve">that, except as may otherwise be provided by the Plan, no amendment, modification, suspension or termination of this Agreement shall adversely affect the Option in any material way without the prior written consent of Participant. </w:t>
      </w:r>
    </w:p>
    <w:p>
      <w:pPr>
        <w:pStyle w:val="TextBody"/>
        <w:bidi w:val="0"/>
        <w:spacing w:lineRule="auto" w:line="288" w:before="0" w:after="240"/>
        <w:ind w:left="0" w:right="0" w:firstLine="720"/>
        <w:jc w:val="both"/>
        <w:rPr/>
      </w:pPr>
      <w:r>
        <w:rPr>
          <w:rFonts w:ascii="sans-serif" w:hAnsi="sans-serif"/>
          <w:b w:val="false"/>
          <w:color w:val="000000"/>
          <w:sz w:val="24"/>
        </w:rPr>
        <w:t>16.12    </w:t>
      </w:r>
      <w:r>
        <w:rPr>
          <w:rFonts w:ascii="sans-serif" w:hAnsi="sans-serif"/>
          <w:b w:val="false"/>
          <w:color w:val="000000"/>
          <w:sz w:val="24"/>
          <w:u w:val="single"/>
        </w:rPr>
        <w:t>Successors and Assigns</w:t>
      </w:r>
      <w:r>
        <w:rPr>
          <w:rFonts w:ascii="sans-serif" w:hAnsi="sans-serif"/>
          <w:b w:val="false"/>
          <w:color w:val="000000"/>
          <w:sz w:val="24"/>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w:t>
      </w:r>
    </w:p>
    <w:p>
      <w:pPr>
        <w:pStyle w:val="TextBody"/>
        <w:bidi w:val="0"/>
        <w:spacing w:lineRule="auto" w:line="288" w:before="0" w:after="240"/>
        <w:ind w:left="0" w:right="0" w:firstLine="720"/>
        <w:jc w:val="both"/>
        <w:rPr/>
      </w:pPr>
      <w:r>
        <w:rPr>
          <w:rFonts w:ascii="sans-serif" w:hAnsi="sans-serif"/>
          <w:b w:val="false"/>
          <w:color w:val="000000"/>
          <w:sz w:val="24"/>
        </w:rPr>
        <w:t>16.13    </w:t>
      </w:r>
      <w:r>
        <w:rPr>
          <w:rFonts w:ascii="sans-serif" w:hAnsi="sans-serif"/>
          <w:b w:val="false"/>
          <w:color w:val="000000"/>
          <w:sz w:val="24"/>
          <w:u w:val="single"/>
        </w:rPr>
        <w:t>Notification of Disposition</w:t>
      </w:r>
      <w:r>
        <w:rPr>
          <w:rFonts w:ascii="sans-serif" w:hAnsi="sans-serif"/>
          <w:b w:val="false"/>
          <w:color w:val="000000"/>
          <w:sz w:val="24"/>
        </w:rPr>
        <w:t>. If this Option is designated as an Incentive Stock Option,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pStyle w:val="TextBody"/>
        <w:bidi w:val="0"/>
        <w:spacing w:lineRule="auto" w:line="288" w:before="0" w:after="240"/>
        <w:ind w:left="0" w:right="0" w:firstLine="720"/>
        <w:jc w:val="both"/>
        <w:rPr/>
      </w:pPr>
      <w:r>
        <w:rPr>
          <w:rFonts w:ascii="sans-serif" w:hAnsi="sans-serif"/>
          <w:b w:val="false"/>
          <w:color w:val="000000"/>
          <w:sz w:val="24"/>
        </w:rPr>
        <w:t>16.14    </w:t>
      </w:r>
      <w:r>
        <w:rPr>
          <w:rFonts w:ascii="sans-serif" w:hAnsi="sans-serif"/>
          <w:b w:val="false"/>
          <w:color w:val="000000"/>
          <w:sz w:val="24"/>
          <w:u w:val="single"/>
        </w:rPr>
        <w:t>Limitations Applicable to Section 16 Persons</w:t>
      </w:r>
      <w:r>
        <w:rPr>
          <w:rFonts w:ascii="sans-serif" w:hAnsi="sans-serif"/>
          <w:b w:val="false"/>
          <w:color w:val="000000"/>
          <w:sz w:val="24"/>
        </w:rPr>
        <w:t>. Notwithstanding any other provision of the Plan or this Agreement, if Participant is subject to Section 16 of the Exchange Act, then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288" w:before="0" w:after="240"/>
        <w:ind w:left="0" w:right="0" w:firstLine="720"/>
        <w:jc w:val="both"/>
        <w:rPr/>
      </w:pPr>
      <w:r>
        <w:rPr>
          <w:rFonts w:ascii="sans-serif" w:hAnsi="sans-serif"/>
          <w:b w:val="false"/>
          <w:color w:val="000000"/>
          <w:sz w:val="24"/>
        </w:rPr>
        <w:t>16.15    </w:t>
      </w:r>
      <w:r>
        <w:rPr>
          <w:rFonts w:ascii="sans-serif" w:hAnsi="sans-serif"/>
          <w:b w:val="false"/>
          <w:color w:val="000000"/>
          <w:sz w:val="24"/>
          <w:u w:val="single"/>
        </w:rPr>
        <w:t>Not a Contract of Service Relationship</w:t>
      </w:r>
      <w:r>
        <w:rPr>
          <w:rFonts w:ascii="sans-serif" w:hAnsi="sans-serif"/>
          <w:b w:val="false"/>
          <w:color w:val="000000"/>
          <w:sz w:val="24"/>
        </w:rPr>
        <w:t xml:space="preserve">.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2560"/>
                <wp:effectExtent l="0" t="0" r="0" b="0"/>
                <wp:wrapNone/>
                <wp:docPr id="44" name="Frame4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A-7</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employment or services of Participant at any time for any reason whatsoever, with or without Cause, except to the extent expressly provided otherwise by Applicable Law or in a written agreement between the Company or a Subsidiary (as applicable) and Participant.</w:t>
      </w:r>
    </w:p>
    <w:p>
      <w:pPr>
        <w:pStyle w:val="TextBody"/>
        <w:bidi w:val="0"/>
        <w:spacing w:lineRule="auto" w:line="288" w:before="0" w:after="240"/>
        <w:ind w:left="0" w:right="0" w:firstLine="720"/>
        <w:jc w:val="both"/>
        <w:rPr/>
      </w:pPr>
      <w:r>
        <w:rPr>
          <w:rFonts w:ascii="sans-serif" w:hAnsi="sans-serif"/>
          <w:b w:val="false"/>
          <w:color w:val="000000"/>
          <w:sz w:val="24"/>
        </w:rPr>
        <w:t>16.16    </w:t>
      </w:r>
      <w:r>
        <w:rPr>
          <w:rFonts w:ascii="sans-serif" w:hAnsi="sans-serif"/>
          <w:b w:val="false"/>
          <w:color w:val="000000"/>
          <w:sz w:val="24"/>
          <w:u w:val="single"/>
        </w:rPr>
        <w:t>Entire Agreement</w:t>
      </w:r>
      <w:r>
        <w:rPr>
          <w:rFonts w:ascii="sans-serif" w:hAnsi="sans-serif"/>
          <w:b w:val="false"/>
          <w:color w:val="000000"/>
          <w:sz w:val="24"/>
        </w:rPr>
        <w:t xml:space="preserve">. The Plan, the Grant Notice and this Agreement (including the Country Provisions) constitute the entire agreement of the parties and supersede in their entirety all prior undertakings and agreements of the Company and Participant with respect to the subject matter hereof, </w:t>
      </w:r>
      <w:r>
        <w:rPr>
          <w:rFonts w:ascii="sans-serif" w:hAnsi="sans-serif"/>
          <w:b w:val="false"/>
          <w:i/>
          <w:color w:val="000000"/>
          <w:sz w:val="24"/>
        </w:rPr>
        <w:t>provided</w:t>
      </w:r>
      <w:r>
        <w:rPr>
          <w:color w:val="000000"/>
        </w:rPr>
        <w:t xml:space="preserve"> </w:t>
      </w:r>
      <w:r>
        <w:rPr>
          <w:rFonts w:ascii="sans-serif" w:hAnsi="sans-serif"/>
          <w:b w:val="false"/>
          <w:color w:val="000000"/>
          <w:sz w:val="24"/>
        </w:rPr>
        <w:t>that the Option shall be subject to any accelerated vesting provisions in any written agreement between Participant and the Company (or any Subsidiary who is the employer of Participant) or a Company plan pursuant to which Participant is eligible to participate, in each case, in accordance with the terms therein.</w:t>
      </w:r>
    </w:p>
    <w:p>
      <w:pPr>
        <w:pStyle w:val="TextBody"/>
        <w:bidi w:val="0"/>
        <w:spacing w:lineRule="auto" w:line="288" w:before="0" w:after="240"/>
        <w:ind w:left="0" w:right="0" w:firstLine="720"/>
        <w:jc w:val="both"/>
        <w:rPr/>
      </w:pPr>
      <w:r>
        <w:rPr>
          <w:rFonts w:ascii="sans-serif" w:hAnsi="sans-serif"/>
          <w:b w:val="false"/>
          <w:color w:val="000000"/>
          <w:sz w:val="24"/>
        </w:rPr>
        <w:t>16.17    </w:t>
      </w:r>
      <w:r>
        <w:rPr>
          <w:rFonts w:ascii="sans-serif" w:hAnsi="sans-serif"/>
          <w:b w:val="false"/>
          <w:color w:val="000000"/>
          <w:sz w:val="24"/>
          <w:u w:val="single"/>
        </w:rPr>
        <w:t>Section 409A</w:t>
      </w:r>
      <w:r>
        <w:rPr>
          <w:rFonts w:ascii="sans-serif" w:hAnsi="sans-serif"/>
          <w:b w:val="false"/>
          <w:color w:val="000000"/>
          <w:sz w:val="24"/>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sans-serif" w:hAnsi="sans-serif"/>
          <w:b/>
          <w:i/>
          <w:color w:val="000000"/>
          <w:sz w:val="24"/>
        </w:rPr>
        <w:t>Section 409A</w:t>
      </w:r>
      <w:r>
        <w:rPr>
          <w:color w:val="000000"/>
        </w:rPr>
        <w:t>”</w:t>
      </w:r>
      <w:r>
        <w:rPr>
          <w:rFonts w:ascii="sans-serif" w:hAnsi="sans-serif"/>
          <w:b w:val="false"/>
          <w:color w:val="000000"/>
          <w:sz w:val="24"/>
        </w:rPr>
        <w:t xml:space="preserve">).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 </w:t>
      </w:r>
    </w:p>
    <w:p>
      <w:pPr>
        <w:pStyle w:val="TextBody"/>
        <w:bidi w:val="0"/>
        <w:spacing w:lineRule="auto" w:line="288" w:before="0" w:after="240"/>
        <w:ind w:left="0" w:right="0" w:firstLine="720"/>
        <w:jc w:val="both"/>
        <w:rPr/>
      </w:pPr>
      <w:r>
        <w:rPr>
          <w:rFonts w:ascii="sans-serif" w:hAnsi="sans-serif"/>
          <w:b w:val="false"/>
          <w:color w:val="000000"/>
          <w:sz w:val="24"/>
        </w:rPr>
        <w:t>16.18    </w:t>
      </w:r>
      <w:r>
        <w:rPr>
          <w:rFonts w:ascii="sans-serif" w:hAnsi="sans-serif"/>
          <w:b w:val="false"/>
          <w:color w:val="000000"/>
          <w:sz w:val="24"/>
          <w:u w:val="single"/>
        </w:rPr>
        <w:t>Limitation on Participant’s Rights</w:t>
      </w:r>
      <w:r>
        <w:rPr>
          <w:rFonts w:ascii="sans-serif" w:hAnsi="sans-serif"/>
          <w:b w:val="false"/>
          <w:color w:val="000000"/>
          <w:sz w:val="24"/>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Option, and rights no greater than the right to receive the Shares as a general unsecured creditor with respect to the Option, as and when exercised pursuant to the terms hereof.</w:t>
      </w:r>
    </w:p>
    <w:p>
      <w:pPr>
        <w:pStyle w:val="TextBody"/>
        <w:bidi w:val="0"/>
        <w:spacing w:lineRule="auto" w:line="288" w:before="0" w:after="240"/>
        <w:ind w:left="0" w:right="0" w:firstLine="720"/>
        <w:jc w:val="both"/>
        <w:rPr/>
      </w:pPr>
      <w:r>
        <w:rPr>
          <w:rFonts w:ascii="sans-serif" w:hAnsi="sans-serif"/>
          <w:b w:val="false"/>
          <w:color w:val="000000"/>
          <w:sz w:val="24"/>
        </w:rPr>
        <w:t>16.19    </w:t>
      </w:r>
      <w:r>
        <w:rPr>
          <w:rFonts w:ascii="sans-serif" w:hAnsi="sans-serif"/>
          <w:b w:val="false"/>
          <w:color w:val="000000"/>
          <w:sz w:val="24"/>
          <w:u w:val="single"/>
        </w:rPr>
        <w:t>Rules Particular To Specific Countries</w:t>
      </w:r>
      <w:r>
        <w:rPr>
          <w:rFonts w:ascii="sans-serif" w:hAnsi="sans-serif"/>
          <w:b w:val="false"/>
          <w:color w:val="000000"/>
          <w:sz w:val="24"/>
        </w:rPr>
        <w:t xml:space="preserve">. </w:t>
      </w:r>
    </w:p>
    <w:p>
      <w:pPr>
        <w:pStyle w:val="TextBody"/>
        <w:bidi w:val="0"/>
        <w:spacing w:lineRule="auto" w:line="288" w:before="0" w:after="240"/>
        <w:ind w:left="0" w:right="0" w:firstLine="1440"/>
        <w:jc w:val="both"/>
        <w:rPr/>
      </w:pPr>
      <w:r>
        <w:rPr>
          <w:rFonts w:ascii="sans-serif" w:hAnsi="sans-serif"/>
          <w:b w:val="false"/>
          <w:color w:val="000000"/>
          <w:sz w:val="24"/>
        </w:rPr>
        <w:t>(a)    </w:t>
      </w:r>
      <w:r>
        <w:rPr>
          <w:rFonts w:ascii="sans-serif" w:hAnsi="sans-serif"/>
          <w:b w:val="false"/>
          <w:i/>
          <w:color w:val="000000"/>
          <w:sz w:val="24"/>
        </w:rPr>
        <w:t>Generally</w:t>
      </w:r>
      <w:r>
        <w:rPr>
          <w:rFonts w:ascii="sans-serif" w:hAnsi="sans-serif"/>
          <w:b w:val="false"/>
          <w:color w:val="000000"/>
          <w:sz w:val="24"/>
        </w:rPr>
        <w:t>. Participant shall, if required by the Administrator, enter into an election with the Company or a Subsidiary (in a form approved by the Company) under which any liability to the Company’s (or a Subsidiary’s) Tax-Related Items, including, but not limited to, National Insurance Contributions (“</w:t>
      </w:r>
      <w:r>
        <w:rPr>
          <w:rFonts w:ascii="sans-serif" w:hAnsi="sans-serif"/>
          <w:b/>
          <w:i/>
          <w:color w:val="000000"/>
          <w:sz w:val="24"/>
        </w:rPr>
        <w:t>NICs</w:t>
      </w:r>
      <w:r>
        <w:rPr>
          <w:color w:val="000000"/>
        </w:rPr>
        <w:t>”</w:t>
      </w:r>
      <w:r>
        <w:rPr>
          <w:rFonts w:ascii="sans-serif" w:hAnsi="sans-serif"/>
          <w:b w:val="false"/>
          <w:color w:val="000000"/>
          <w:sz w:val="24"/>
        </w:rPr>
        <w:t xml:space="preserve">) and the Fringe Benefit Tax, is transferred to and met by Participant. </w:t>
      </w:r>
    </w:p>
    <w:p>
      <w:pPr>
        <w:pStyle w:val="TextBody"/>
        <w:bidi w:val="0"/>
        <w:spacing w:lineRule="auto" w:line="288" w:before="0" w:after="240"/>
        <w:ind w:left="0" w:right="0" w:firstLine="1440"/>
        <w:jc w:val="both"/>
        <w:rPr/>
      </w:pPr>
      <w:r>
        <w:rPr>
          <w:rFonts w:ascii="sans-serif" w:hAnsi="sans-serif"/>
          <w:b w:val="false"/>
          <w:color w:val="000000"/>
          <w:sz w:val="24"/>
        </w:rPr>
        <w:t>(b)    </w:t>
      </w:r>
      <w:r>
        <w:rPr>
          <w:rFonts w:ascii="sans-serif" w:hAnsi="sans-serif"/>
          <w:b w:val="false"/>
          <w:i/>
          <w:color w:val="000000"/>
          <w:sz w:val="24"/>
        </w:rPr>
        <w:t>Tax Indemnity</w:t>
      </w:r>
      <w:r>
        <w:rPr>
          <w:rFonts w:ascii="sans-serif" w:hAnsi="sans-serif"/>
          <w:b w:val="false"/>
          <w:color w:val="000000"/>
          <w:sz w:val="24"/>
        </w:rPr>
        <w:t>. Participant shall indemnify and keep indemnified the Company and any of its subsidiaries from and against any Tax-Related Items.</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2560"/>
                <wp:effectExtent l="0" t="0" r="0" b="0"/>
                <wp:wrapNone/>
                <wp:docPr id="45" name="Frame4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A-8</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4"/>
        </w:rPr>
        <w:t>16.20    </w:t>
      </w:r>
      <w:r>
        <w:rPr>
          <w:rFonts w:ascii="sans-serif" w:hAnsi="sans-serif"/>
          <w:b w:val="false"/>
          <w:color w:val="000000"/>
          <w:sz w:val="24"/>
          <w:u w:val="single"/>
        </w:rPr>
        <w:t>Special Country Provisions for Options Granted to Participants</w:t>
      </w:r>
      <w:r>
        <w:rPr>
          <w:rFonts w:ascii="sans-serif" w:hAnsi="sans-serif"/>
          <w:b w:val="false"/>
          <w:color w:val="000000"/>
          <w:sz w:val="24"/>
        </w:rPr>
        <w:t>. This Option shall be subject to the Country Provisions, if any, for Participant’s country of residence, as set forth in the Country Provisions. If Participant relocates to one of the countries included in the Country Provisions during the life of this Option, the special provisions for such country shall apply to Participant, to the extent the Company determines that the application of such provisions is necessary or advisable in order to comply with local law or facilitate the administration of the Plan. The Company reserves the right to impose other requirements on this Option and the Shares purchased upon exercise of this Option,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pStyle w:val="TextBody"/>
        <w:bidi w:val="0"/>
        <w:spacing w:lineRule="auto" w:line="288" w:before="0" w:after="534"/>
        <w:jc w:val="center"/>
        <w:rPr>
          <w:rFonts w:ascii="sans-serif" w:hAnsi="sans-serif"/>
          <w:b w:val="false"/>
          <w:color w:val="000000"/>
          <w:sz w:val="24"/>
        </w:rPr>
      </w:pPr>
      <w:r>
        <w:rPr>
          <w:rFonts w:ascii="sans-serif" w:hAnsi="sans-serif"/>
          <w:b w:val="false"/>
          <w:color w:val="000000"/>
          <w:sz w:val="24"/>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2560"/>
                <wp:effectExtent l="0" t="0" r="0" b="0"/>
                <wp:wrapNone/>
                <wp:docPr id="46" name="Frame4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A-9</w:t>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APPENDIX</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TO</w:t>
      </w:r>
    </w:p>
    <w:p>
      <w:pPr>
        <w:pStyle w:val="TextBody"/>
        <w:bidi w:val="0"/>
        <w:spacing w:lineRule="auto" w:line="288" w:before="0" w:after="720"/>
        <w:jc w:val="center"/>
        <w:rPr>
          <w:rFonts w:ascii="sans-serif" w:hAnsi="sans-serif"/>
          <w:b/>
          <w:color w:val="000000"/>
          <w:sz w:val="24"/>
        </w:rPr>
      </w:pPr>
      <w:r>
        <w:rPr>
          <w:rFonts w:ascii="sans-serif" w:hAnsi="sans-serif"/>
          <w:b/>
          <w:color w:val="000000"/>
          <w:sz w:val="24"/>
        </w:rPr>
        <w:t>STOCK OPTION AGREEMENT</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Special Country Provisions for Options for Participants</w:t>
      </w:r>
    </w:p>
    <w:p>
      <w:pPr>
        <w:pStyle w:val="TextBody"/>
        <w:bidi w:val="0"/>
        <w:spacing w:lineRule="auto" w:line="288" w:before="0" w:after="240"/>
        <w:jc w:val="both"/>
        <w:rPr/>
      </w:pPr>
      <w:r>
        <w:rPr>
          <w:rFonts w:ascii="sans-serif" w:hAnsi="sans-serif"/>
          <w:b w:val="false"/>
          <w:color w:val="000000"/>
          <w:sz w:val="24"/>
        </w:rPr>
        <w:t>This Appendix includes special terms and conditions applicable to Participants in the countries below. These terms and conditions are in addition to those set forth in the Stock Option Agreement (the “</w:t>
      </w:r>
      <w:r>
        <w:rPr>
          <w:rFonts w:ascii="sans-serif" w:hAnsi="sans-serif"/>
          <w:b/>
          <w:i/>
          <w:color w:val="000000"/>
          <w:sz w:val="24"/>
        </w:rPr>
        <w:t>Agreement</w:t>
      </w:r>
      <w:r>
        <w:rPr>
          <w:color w:val="000000"/>
        </w:rPr>
        <w:t>”</w:t>
      </w:r>
      <w:r>
        <w:rPr>
          <w:rFonts w:ascii="sans-serif" w:hAnsi="sans-serif"/>
          <w:b w:val="false"/>
          <w:color w:val="000000"/>
          <w:sz w:val="24"/>
        </w:rPr>
        <w:t>), the Stock Option Grant Notice to which the Agreement is attached,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In accepting the Option, Participant acknowledges, understands and agrees that:</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(a)    the Plan is established voluntarily by the Company, it is discretionary in nature, and may be amended, suspended or terminated by the Company at any time, to the extent permitted by the Plan;</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(b)    the grant of the Option is voluntary and occasional and does not create any contractual or other right to receive future grants of options, or benefits in lieu of options, even if options have been granted in the past;</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(c)    all decisions with respect to future option or other grants, if any, will be at the sole discretion of the Company;</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(d)    the Option grant and Participant’s participation in the Plan shall not create a right to employment or be interpreted as forming an employment or service contract with the Company, or, if different, Participant’s employer, or any Subsidiary or parent or affiliate of the Company, and shall not interfere with the ability of the Company, the employer or any Subsidiary or parent or affiliate of the Company, as applicable, to provide for a termination of Participant’s service;</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(e)    Participant is voluntarily participating in the Plan;</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(f)    the Option and any Shares acquired under the Plan are not intended to replace any pension rights or compensation;</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 xml:space="preserve">(g)    for labor law purposes, the Option and any Shares acquired under the Plan and the income and value of same, are not part of normal or expected, wages, salary or other compensation for any purpose, including, without limitation, calculating any severance, resignation, termination, redundancy, dismissal, end-of-service payments, bonuses, holiday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2560"/>
                <wp:effectExtent l="0" t="0" r="0" b="0"/>
                <wp:wrapNone/>
                <wp:docPr id="47" name="Frame4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pay, long-service awards, pension or retirement or welfare benefits or similar payments and in no event should be considered as compensation for, or relating in any way to, past services for the Company, any Subsidiary, Participant’s employer, its parent, or any affiliate of the Company;</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(h)    the future value of the Shares underlying the Option is unknown, indeterminable, and cannot be predicted with certainty;</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(i)    if the underlying Shares do not increase in value, the Option will have no value;</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 xml:space="preserve">(j)    if Participant exercises the Option and acquires Shares, the value of such Shares may increase or decrease in value, even below the exercise price; </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(k)    neither the Company, the employer nor any parent, Subsidiary or affiliate of the Company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pStyle w:val="TextBody"/>
        <w:bidi w:val="0"/>
        <w:spacing w:lineRule="auto" w:line="288" w:before="0" w:after="240"/>
        <w:ind w:left="0" w:right="0" w:firstLine="709"/>
        <w:jc w:val="both"/>
        <w:rPr>
          <w:rFonts w:ascii="sans-serif" w:hAnsi="sans-serif"/>
          <w:b w:val="false"/>
          <w:color w:val="000000"/>
          <w:sz w:val="24"/>
        </w:rPr>
      </w:pPr>
      <w:r>
        <w:rPr>
          <w:rFonts w:ascii="sans-serif" w:hAnsi="sans-serif"/>
          <w:b w:val="false"/>
          <w:color w:val="000000"/>
          <w:sz w:val="24"/>
        </w:rPr>
        <w:t>(l)    nothing in the Plan or this Agreement shall give the Participant any rights to compensation or damages including, without limitation, for any loss or potential loss that the Participant may suffer by reason of the cancellation and forfeiture of the RSUs as a result of the Participant’s Termination of Service including where any termination is subsequently held to be wrongful or unfair.</w:t>
      </w:r>
    </w:p>
    <w:p>
      <w:pPr>
        <w:pStyle w:val="TextBody"/>
        <w:bidi w:val="0"/>
        <w:spacing w:lineRule="auto" w:line="288" w:before="0" w:after="240"/>
        <w:jc w:val="both"/>
        <w:rPr/>
      </w:pPr>
      <w:r>
        <w:rPr>
          <w:rFonts w:ascii="sans-serif" w:hAnsi="sans-serif"/>
          <w:b/>
          <w:color w:val="000000"/>
          <w:sz w:val="24"/>
          <w:u w:val="single"/>
        </w:rPr>
        <w:t>Securities Law Notice</w:t>
      </w:r>
      <w:r>
        <w:rPr>
          <w:rFonts w:ascii="sans-serif" w:hAnsi="sans-serif"/>
          <w:b/>
          <w:color w:val="000000"/>
          <w:sz w:val="24"/>
        </w:rPr>
        <w:t>:</w:t>
      </w:r>
      <w:r>
        <w:rPr>
          <w:color w:val="000000"/>
        </w:rPr>
        <w:t xml:space="preserve"> </w:t>
      </w:r>
      <w:r>
        <w:rPr>
          <w:rFonts w:ascii="sans-serif" w:hAnsi="sans-serif"/>
          <w:b w:val="false"/>
          <w:color w:val="000000"/>
          <w:sz w:val="24"/>
        </w:rPr>
        <w:t>Unless otherwise noted, neither the Company nor the Shares are registered with any local stock exchange or under the control of any local securities regulator 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pStyle w:val="TextBody"/>
        <w:bidi w:val="0"/>
        <w:spacing w:lineRule="auto" w:line="288" w:before="0" w:after="240"/>
        <w:ind w:left="0" w:right="0" w:firstLine="720"/>
        <w:jc w:val="center"/>
        <w:rPr>
          <w:rFonts w:ascii="sans-serif" w:hAnsi="sans-serif"/>
          <w:b/>
          <w:color w:val="000000"/>
          <w:sz w:val="24"/>
        </w:rPr>
      </w:pPr>
      <w:r>
        <w:rPr>
          <w:rFonts w:ascii="sans-serif" w:hAnsi="sans-serif"/>
          <w:b/>
          <w:color w:val="000000"/>
          <w:sz w:val="24"/>
        </w:rPr>
        <w:t>General Provisions</w:t>
      </w:r>
    </w:p>
    <w:p>
      <w:pPr>
        <w:pStyle w:val="TextBody"/>
        <w:bidi w:val="0"/>
        <w:spacing w:lineRule="auto" w:line="288" w:before="0" w:after="240"/>
        <w:jc w:val="both"/>
        <w:rPr/>
      </w:pPr>
      <w:r>
        <w:rPr>
          <w:rFonts w:ascii="sans-serif" w:hAnsi="sans-serif"/>
          <w:b/>
          <w:color w:val="000000"/>
          <w:sz w:val="24"/>
          <w:u w:val="single"/>
        </w:rPr>
        <w:t>Data Privacy</w:t>
      </w:r>
      <w:r>
        <w:rPr>
          <w:rFonts w:ascii="sans-serif" w:hAnsi="sans-serif"/>
          <w:b w:val="false"/>
          <w:color w:val="000000"/>
          <w:sz w:val="24"/>
        </w:rPr>
        <w:t xml:space="preserve">: </w:t>
      </w:r>
      <w:r>
        <w:rPr>
          <w:rFonts w:ascii="sans-serif" w:hAnsi="sans-serif"/>
          <w:b/>
          <w:color w:val="000000"/>
          <w:sz w:val="24"/>
        </w:rPr>
        <w:t>Participant acknowledges and agrees to the data privacy provisions set forth in Section 11.8 of the Plan.</w:t>
      </w:r>
    </w:p>
    <w:p>
      <w:pPr>
        <w:pStyle w:val="TextBody"/>
        <w:bidi w:val="0"/>
        <w:spacing w:lineRule="auto" w:line="288" w:before="0" w:after="240"/>
        <w:jc w:val="both"/>
        <w:rPr/>
      </w:pPr>
      <w:r>
        <w:rPr>
          <w:rFonts w:ascii="sans-serif" w:hAnsi="sans-serif"/>
          <w:b/>
          <w:color w:val="000000"/>
          <w:sz w:val="24"/>
          <w:u w:val="single"/>
        </w:rPr>
        <w:t>Notifications</w:t>
      </w:r>
      <w:r>
        <w:rPr>
          <w:rFonts w:ascii="sans-serif" w:hAnsi="sans-serif"/>
          <w:b w:val="false"/>
          <w:color w:val="000000"/>
          <w:sz w:val="24"/>
        </w:rPr>
        <w:t xml:space="preserve">: This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 [____] 2026. Such laws are often complex and change frequently. As a result, the Company strongly recommends that Participant not rely on the information herein as the only source of information relating to the consequences of participation in the Plan because the information may be out of date at the time the Option is exercised or Shares acquired under the Plan are sold. In addition, the information contained in this Appendix is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2560"/>
                <wp:effectExtent l="0" t="0" r="0" b="0"/>
                <wp:wrapNone/>
                <wp:docPr id="48" name="Frame4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Appendix-2</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general in nature and may not apply to Participant’s particular situation,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pStyle w:val="TextBody"/>
        <w:bidi w:val="0"/>
        <w:spacing w:lineRule="auto" w:line="288" w:before="0" w:after="240"/>
        <w:jc w:val="both"/>
        <w:rPr/>
      </w:pPr>
      <w:r>
        <w:rPr>
          <w:rFonts w:ascii="sans-serif" w:hAnsi="sans-serif"/>
          <w:b/>
          <w:color w:val="000000"/>
          <w:sz w:val="24"/>
          <w:u w:val="single"/>
        </w:rPr>
        <w:t>English Language</w:t>
      </w:r>
      <w:r>
        <w:rPr>
          <w:rFonts w:ascii="sans-serif" w:hAnsi="sans-serif"/>
          <w:b w:val="false"/>
          <w:color w:val="000000"/>
          <w:sz w:val="24"/>
        </w:rPr>
        <w:t>: By participating in the Plan, Participant acknowledges that Participant is proficient in the English language, or has consulted with an advisor who is sufficiently 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jc w:val="both"/>
        <w:rPr/>
      </w:pPr>
      <w:r>
        <w:rPr>
          <w:rFonts w:ascii="sans-serif" w:hAnsi="sans-serif"/>
          <w:b/>
          <w:color w:val="000000"/>
          <w:sz w:val="24"/>
          <w:u w:val="single"/>
        </w:rPr>
        <w:t>Currency</w:t>
      </w:r>
      <w:r>
        <w:rPr>
          <w:rFonts w:ascii="sans-serif" w:hAnsi="sans-serif"/>
          <w:b w:val="false"/>
          <w:color w:val="000000"/>
          <w:sz w:val="24"/>
        </w:rPr>
        <w:t>: Participant understands that, any amounts related to the Option will be denominated in U.S. dollars and will be converted to any 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Option, or of any amounts due to Participant or as a result of the subsequent sale of any Shares acquired under the Option.</w:t>
      </w:r>
    </w:p>
    <w:p>
      <w:pPr>
        <w:pStyle w:val="TextBody"/>
        <w:bidi w:val="0"/>
        <w:spacing w:lineRule="auto" w:line="288" w:before="0" w:after="240"/>
        <w:jc w:val="both"/>
        <w:rPr/>
      </w:pPr>
      <w:r>
        <w:rPr>
          <w:rFonts w:ascii="sans-serif" w:hAnsi="sans-serif"/>
          <w:b/>
          <w:color w:val="000000"/>
          <w:sz w:val="24"/>
          <w:u w:val="single"/>
        </w:rPr>
        <w:t>Foreign Asset/Account Reporting; Exchange</w:t>
      </w:r>
      <w:r>
        <w:rPr>
          <w:color w:val="000000"/>
          <w:u w:val="single"/>
        </w:rPr>
        <w:t xml:space="preserve"> </w:t>
      </w:r>
      <w:r>
        <w:rPr>
          <w:rFonts w:ascii="sans-serif" w:hAnsi="sans-serif"/>
          <w:b/>
          <w:color w:val="000000"/>
          <w:sz w:val="24"/>
          <w:u w:val="single"/>
        </w:rPr>
        <w:t>Controls</w:t>
      </w:r>
      <w:r>
        <w:rPr>
          <w:rFonts w:ascii="sans-serif" w:hAnsi="sans-serif"/>
          <w:b w:val="false"/>
          <w:color w:val="000000"/>
          <w:sz w:val="24"/>
        </w:rPr>
        <w:t>: Participant’s country of residence may have certain foreign asset and/or account reporting or exchange control requirements which may affect his or her ability to acquire or hold Shares under the Agreement or cash received (including proceeds arising from the sale of Shares) in a brokerage or bank account outside Participant’s country. Participant may be required to report such accounts, assets or transactions to the tax or other authorities in his or her country. Participant may also be required to repatriate sale proceeds or other funds received as a result of his/her participation in the Plan to his or her country through a designated broker or bank and/or within a certain time after receipt. Participant is responsible for ensuring compliance with such regulations and should consult with his or her personal legal advisor for any details.</w:t>
      </w:r>
    </w:p>
    <w:p>
      <w:pPr>
        <w:pStyle w:val="TextBody"/>
        <w:bidi w:val="0"/>
        <w:spacing w:lineRule="auto" w:line="288" w:before="0" w:after="240"/>
        <w:jc w:val="both"/>
        <w:rPr/>
      </w:pPr>
      <w:r>
        <w:rPr>
          <w:rFonts w:ascii="sans-serif" w:hAnsi="sans-serif"/>
          <w:b/>
          <w:color w:val="000000"/>
          <w:sz w:val="24"/>
          <w:u w:val="single"/>
        </w:rPr>
        <w:t>No Advice Regarding Grant</w:t>
      </w:r>
      <w:r>
        <w:rPr>
          <w:rFonts w:ascii="sans-serif" w:hAnsi="sans-serif"/>
          <w:b w:val="false"/>
          <w:color w:val="000000"/>
          <w:sz w:val="24"/>
        </w:rPr>
        <w:t>: The Company is not providing any tax, legal or financial advice, nor is the Company making any recommendations regarding Participant’s participation in the Plan or the Agreement or any receipt of the Option or sale of Shares acquired upon exercise of the Option. Participant should consult his or her own personal tax, legal and financial advisors regarding his or her participation in the Plan and the Agreement before taking any action related to the Option or the Shares.</w:t>
      </w:r>
    </w:p>
    <w:p>
      <w:pPr>
        <w:pStyle w:val="TextBody"/>
        <w:bidi w:val="0"/>
        <w:spacing w:lineRule="auto" w:line="288" w:before="0" w:after="240"/>
        <w:jc w:val="both"/>
        <w:rPr/>
      </w:pPr>
      <w:r>
        <w:rPr>
          <w:rFonts w:ascii="sans-serif" w:hAnsi="sans-serif"/>
          <w:b/>
          <w:color w:val="000000"/>
          <w:sz w:val="24"/>
          <w:u w:val="single"/>
        </w:rPr>
        <w:t>Imposition of Other Requirements</w:t>
      </w:r>
      <w:r>
        <w:rPr>
          <w:rFonts w:ascii="sans-serif" w:hAnsi="sans-serif"/>
          <w:b w:val="false"/>
          <w:color w:val="000000"/>
          <w:sz w:val="24"/>
        </w:rPr>
        <w:t>: The Company reserves the right to impose other requirements on Participant, on the Option and/or any Shares issuable upon exercise of the Option,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2560"/>
                <wp:effectExtent l="0" t="0" r="0" b="0"/>
                <wp:wrapNone/>
                <wp:docPr id="49" name="Frame4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Appendix-3</w:t>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CANADA</w:t>
      </w:r>
    </w:p>
    <w:p>
      <w:pPr>
        <w:pStyle w:val="TextBody"/>
        <w:bidi w:val="0"/>
        <w:spacing w:lineRule="auto" w:line="288" w:before="0" w:after="240"/>
        <w:jc w:val="both"/>
        <w:rPr/>
      </w:pPr>
      <w:r>
        <w:rPr>
          <w:rFonts w:ascii="sans-serif" w:hAnsi="sans-serif"/>
          <w:b w:val="false"/>
          <w:color w:val="000000"/>
          <w:sz w:val="24"/>
          <w:u w:val="single"/>
        </w:rPr>
        <w:t>Securities Laws.</w:t>
      </w:r>
      <w:r>
        <w:rPr>
          <w:color w:val="000000"/>
        </w:rPr>
        <w:t xml:space="preserve">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Certain defined terms in the Plan are modified or supplemented as set forth below.</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term “affiliate” which appears in the defined terms “Cause” and “Company” is modified such that an “affiliate” shall be a defined term and shall mean the Company’s parent or an entity over which the Company or its parent has the power to direct the management and policies of by virtue of ownership or direction over voting securities in such entity (holding over 50%) or by a written agreement.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defined term “Consultant” is supplemented by the following: In order to qualify as a Consultant in a jurisdiction of Canada, a person must provide services to the Company, a parent or an Affiliate under a written contract and must spend or will spend a significant amount of time and attention on the affairs and business of the Company, a parent or an Affiliate.</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For so long as the Company is not a reporting issuer (public company) in any jurisdiction of Canada, does not have a head office in Canada, and does not have a majority of its executive officers or directors ordinarily resident in Canada, subject to any contractual restrictions, a Canadian Participant can sell and/or transfer its Shares to a person or company outside of Canada or through an exchange, or a market, outside of Canada.</w:t>
      </w:r>
    </w:p>
    <w:p>
      <w:pPr>
        <w:pStyle w:val="TextBody"/>
        <w:bidi w:val="0"/>
        <w:spacing w:lineRule="auto" w:line="288" w:before="0" w:after="240"/>
        <w:jc w:val="both"/>
        <w:rPr/>
      </w:pPr>
      <w:r>
        <w:rPr>
          <w:rFonts w:ascii="sans-serif" w:hAnsi="sans-serif"/>
          <w:b w:val="false"/>
          <w:color w:val="000000"/>
          <w:sz w:val="24"/>
          <w:u w:val="single"/>
        </w:rPr>
        <w:t>Method of Exercise</w:t>
      </w:r>
      <w:r>
        <w:rPr>
          <w:rFonts w:ascii="sans-serif" w:hAnsi="sans-serif"/>
          <w:b w:val="false"/>
          <w:color w:val="000000"/>
          <w:sz w:val="24"/>
        </w:rPr>
        <w:t>. Notwithstanding anything to the contrary in the Stock Option Agreement or the Plan, due to tax considerations in Canada, Participant will not be permitted to pay the exercise price by delivering to the Company already-owned Shares, nor will the Company be permitted to cancel or otherwise settle any Options through cash payments. The Company reserves the right to permit such method of exercise price payment to the extent permitted or deemed desirable based on developments in the Applicable Law.</w:t>
      </w:r>
    </w:p>
    <w:p>
      <w:pPr>
        <w:pStyle w:val="TextBody"/>
        <w:bidi w:val="0"/>
        <w:spacing w:lineRule="auto" w:line="288" w:before="0" w:after="240"/>
        <w:jc w:val="both"/>
        <w:rPr/>
      </w:pPr>
      <w:r>
        <w:rPr>
          <w:rFonts w:ascii="sans-serif" w:hAnsi="sans-serif"/>
          <w:b w:val="false"/>
          <w:color w:val="000000"/>
          <w:sz w:val="24"/>
          <w:u w:val="single"/>
        </w:rPr>
        <w:t>Termination of Service</w:t>
      </w:r>
      <w:r>
        <w:rPr>
          <w:rFonts w:ascii="sans-serif" w:hAnsi="sans-serif"/>
          <w:b w:val="false"/>
          <w:color w:val="000000"/>
          <w:sz w:val="24"/>
        </w:rPr>
        <w:t>. Where there has been a Termination of Service as defined in the Plan will be determined without regard to any period of statutory, contractual, common law, civil law or other reasonable notice of termination or any period of salary continuance or deemed employment or other engagement and regardless of whether any such termination was lawful.</w:t>
      </w:r>
    </w:p>
    <w:p>
      <w:pPr>
        <w:pStyle w:val="TextBody"/>
        <w:bidi w:val="0"/>
        <w:spacing w:lineRule="auto" w:line="288" w:before="0" w:after="240"/>
        <w:jc w:val="both"/>
        <w:rPr/>
      </w:pPr>
      <w:r>
        <w:rPr>
          <w:rFonts w:ascii="sans-serif" w:hAnsi="sans-serif"/>
          <w:b w:val="false"/>
          <w:color w:val="000000"/>
          <w:sz w:val="24"/>
          <w:u w:val="single"/>
        </w:rPr>
        <w:t>Personal Information</w:t>
      </w:r>
      <w:r>
        <w:rPr>
          <w:rFonts w:ascii="sans-serif" w:hAnsi="sans-serif"/>
          <w:b w:val="false"/>
          <w:color w:val="000000"/>
          <w:sz w:val="24"/>
        </w:rPr>
        <w:t>. The following provision supplements Section 11.8 (Data Privacy) of the Plan: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Participant authorizes the Company and its representatives to discuss with and obtain all relevant information from all personnel, professional or not, involved in the administration and operation of the Plan. Participant further authorizes the Company, or any parent or subsidiary of the Company and any stock plan service provider that may be selected by the Company to assist with the Plan to disclose and discuss the Plan with their respective advisors. Participant further authorizes the Company and/or any parent or subsidiary of the Company to record such information and to keep such information in Participant’s employee file.</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2560"/>
                <wp:effectExtent l="0" t="0" r="0" b="0"/>
                <wp:wrapNone/>
                <wp:docPr id="50" name="Frame4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Appendix-4</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following provisions will apply to Participants who are resident in Québec: </w:t>
      </w:r>
    </w:p>
    <w:p>
      <w:pPr>
        <w:pStyle w:val="TextBody"/>
        <w:bidi w:val="0"/>
        <w:spacing w:lineRule="auto" w:line="288" w:before="0" w:after="240"/>
        <w:jc w:val="both"/>
        <w:rPr/>
      </w:pPr>
      <w:r>
        <w:rPr>
          <w:rFonts w:ascii="sans-serif" w:hAnsi="sans-serif"/>
          <w:b w:val="false"/>
          <w:color w:val="000000"/>
          <w:sz w:val="24"/>
          <w:u w:val="single"/>
        </w:rPr>
        <w:t>Language Consent</w:t>
      </w:r>
      <w:r>
        <w:rPr>
          <w:rFonts w:ascii="sans-serif" w:hAnsi="sans-serif"/>
          <w:b w:val="false"/>
          <w:color w:val="000000"/>
          <w:sz w:val="24"/>
        </w:rPr>
        <w:t xml:space="preserve">. The parties acknowledge that it is their express wish that the Stock Option Agreement, including this Addendum, as well as all documents, notices and legal proceedings entered into, given or instituted pursuant hereto or relating directly or indirectly hereto, be drawn up in English. </w:t>
      </w:r>
    </w:p>
    <w:p>
      <w:pPr>
        <w:pStyle w:val="TextBody"/>
        <w:bidi w:val="0"/>
        <w:spacing w:lineRule="auto" w:line="288" w:before="0" w:after="240"/>
        <w:jc w:val="both"/>
        <w:rPr/>
      </w:pPr>
      <w:r>
        <w:rPr>
          <w:rFonts w:ascii="sans-serif" w:hAnsi="sans-serif"/>
          <w:b w:val="false"/>
          <w:color w:val="000000"/>
          <w:sz w:val="24"/>
          <w:u w:val="single"/>
        </w:rPr>
        <w:t>Consentement Relatif à la Langue Utilisée</w:t>
      </w:r>
      <w:r>
        <w:rPr>
          <w:rFonts w:ascii="sans-serif" w:hAnsi="sans-serif"/>
          <w:b w:val="false"/>
          <w:color w:val="000000"/>
          <w:sz w:val="24"/>
        </w:rPr>
        <w:t>.</w:t>
      </w:r>
      <w:r>
        <w:rPr>
          <w:color w:val="000000"/>
        </w:rPr>
        <w:t xml:space="preserve"> </w:t>
      </w:r>
      <w:r>
        <w:rPr>
          <w:rFonts w:ascii="sans-serif" w:hAnsi="sans-serif"/>
          <w:b w:val="false"/>
          <w:i/>
          <w:color w:val="000000"/>
          <w:sz w:val="24"/>
        </w:rPr>
        <w:t>Les parties reconnaissent avoir souhaité expressément que la convention (“Agreement”), ainsi que cette Annexe, ainsi que tous les documents, les notices et la documentation juridique fournis ou mis en œuvre ou institués directement ou indirectement, relativement aux présentes, soient rédigés en anglais.</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FRANCE</w:t>
      </w:r>
    </w:p>
    <w:p>
      <w:pPr>
        <w:pStyle w:val="TextBody"/>
        <w:bidi w:val="0"/>
        <w:spacing w:lineRule="auto" w:line="288" w:before="0" w:after="240"/>
        <w:jc w:val="both"/>
        <w:rPr/>
      </w:pPr>
      <w:r>
        <w:rPr>
          <w:rFonts w:ascii="sans-serif" w:hAnsi="sans-serif"/>
          <w:b w:val="false"/>
          <w:color w:val="000000"/>
          <w:sz w:val="24"/>
          <w:u w:val="single"/>
        </w:rPr>
        <w:t>Language Consent</w:t>
      </w:r>
      <w:r>
        <w:rPr>
          <w:rFonts w:ascii="sans-serif" w:hAnsi="sans-serif"/>
          <w:b w:val="false"/>
          <w:color w:val="000000"/>
          <w:sz w:val="24"/>
        </w:rPr>
        <w:t>. By accepting this grant of Option, Participant confirms having read and understood the Plan and this Agreement, which were provided in the English language. Participant accepts the terms of those documents accordingly.</w:t>
      </w:r>
    </w:p>
    <w:p>
      <w:pPr>
        <w:pStyle w:val="TextBody"/>
        <w:bidi w:val="0"/>
        <w:spacing w:lineRule="auto" w:line="288" w:before="0" w:after="240"/>
        <w:jc w:val="both"/>
        <w:rPr>
          <w:rFonts w:ascii="sans-serif" w:hAnsi="sans-serif"/>
          <w:b w:val="false"/>
          <w:i/>
          <w:color w:val="000000"/>
          <w:sz w:val="24"/>
        </w:rPr>
      </w:pPr>
      <w:r>
        <w:rPr>
          <w:rFonts w:ascii="sans-serif" w:hAnsi="sans-serif"/>
          <w:b w:val="false"/>
          <w:i/>
          <w:color w:val="000000"/>
          <w:sz w:val="24"/>
        </w:rPr>
        <w:t>En acceptant ces Droits sur des Actions Assujetties à des Restrictions, le Participant confirme avoir lu et compris le Plan et le présent Contrat d’Attribution qui ont été transmis en langue anglaise. Le Participant accepte les termes et conditions de ces documents en connaissance de cause.</w:t>
      </w:r>
    </w:p>
    <w:p>
      <w:pPr>
        <w:pStyle w:val="TextBody"/>
        <w:bidi w:val="0"/>
        <w:spacing w:lineRule="auto" w:line="288" w:before="0" w:after="240"/>
        <w:jc w:val="both"/>
        <w:rPr/>
      </w:pPr>
      <w:r>
        <w:rPr>
          <w:rFonts w:ascii="sans-serif" w:hAnsi="sans-serif"/>
          <w:b w:val="false"/>
          <w:color w:val="000000"/>
          <w:sz w:val="24"/>
          <w:u w:val="single"/>
        </w:rPr>
        <w:t>Tax Information</w:t>
      </w:r>
      <w:r>
        <w:rPr>
          <w:rFonts w:ascii="sans-serif" w:hAnsi="sans-serif"/>
          <w:b w:val="false"/>
          <w:color w:val="000000"/>
          <w:sz w:val="24"/>
        </w:rPr>
        <w:t>. The Option is not intended to qualify for special tax or social security treatment in France, including without limitation, under Sections L. 225-197-1 to L. 225-197-6 of the French Commercial Code.  Participant is encouraged to consult with a personal tax advisor to understand the tax and social insurance implications of the Option.</w:t>
      </w:r>
    </w:p>
    <w:p>
      <w:pPr>
        <w:pStyle w:val="TextBody"/>
        <w:bidi w:val="0"/>
        <w:spacing w:lineRule="auto" w:line="288"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xml:space="preserve">. Participant may hold Shares acquired upon vesting/exercise of the Option, any proceeds resulting from the sale of Shares or any dividends paid on such Shares outside of France, </w:t>
      </w:r>
      <w:r>
        <w:rPr>
          <w:rFonts w:ascii="sans-serif" w:hAnsi="sans-serif"/>
          <w:b w:val="false"/>
          <w:i/>
          <w:color w:val="000000"/>
          <w:sz w:val="24"/>
        </w:rPr>
        <w:t>provided</w:t>
      </w:r>
      <w:r>
        <w:rPr>
          <w:color w:val="000000"/>
        </w:rPr>
        <w:t xml:space="preserve"> </w:t>
      </w:r>
      <w:r>
        <w:rPr>
          <w:rFonts w:ascii="sans-serif" w:hAnsi="sans-serif"/>
          <w:b w:val="false"/>
          <w:color w:val="000000"/>
          <w:sz w:val="24"/>
        </w:rPr>
        <w:t>Participant declares all foreign bank and brokerage accounts (including any accounts that were opened or closed during the tax year) with  his or her annual income tax return.  Failure to complete this reporting may trigger penalties for Participant.</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GERMANY</w:t>
      </w:r>
    </w:p>
    <w:p>
      <w:pPr>
        <w:pStyle w:val="TextBody"/>
        <w:bidi w:val="0"/>
        <w:spacing w:lineRule="auto" w:line="288"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288" w:before="0" w:after="0"/>
        <w:jc w:val="both"/>
        <w:rPr/>
      </w:pPr>
      <w:r>
        <w:rPr>
          <w:rFonts w:ascii="sans-serif" w:hAnsi="sans-serif"/>
          <w:b w:val="false"/>
          <w:color w:val="010000"/>
          <w:sz w:val="24"/>
          <w:u w:val="single"/>
        </w:rPr>
        <w:t>Tax Obligations</w:t>
      </w:r>
      <w:r>
        <w:rPr>
          <w:rFonts w:ascii="sans-serif" w:hAnsi="sans-serif"/>
          <w:b w:val="false"/>
          <w:color w:val="010000"/>
          <w:sz w:val="24"/>
        </w:rPr>
        <w:t>. The following provision supplements Section 3.3 of the Agreement:</w:t>
      </w:r>
    </w:p>
    <w:p>
      <w:pPr>
        <w:pStyle w:val="TextBody"/>
        <w:bidi w:val="0"/>
        <w:spacing w:lineRule="auto" w:line="288" w:before="0" w:after="240"/>
        <w:jc w:val="both"/>
        <w:rPr/>
      </w:pPr>
      <w:r>
        <w:rPr>
          <w:rFonts w:ascii="sans-serif" w:hAnsi="sans-serif"/>
          <w:b w:val="false"/>
          <w:color w:val="000000"/>
          <w:sz w:val="24"/>
        </w:rPr>
        <w:t>Each Participant who is either (a) resident for tax purposes in Germany or (b) otherwise subject to German income tax and/or social security contributions (the “</w:t>
      </w:r>
      <w:r>
        <w:rPr>
          <w:rFonts w:ascii="sans-serif" w:hAnsi="sans-serif"/>
          <w:b/>
          <w:i/>
          <w:color w:val="000000"/>
          <w:sz w:val="24"/>
        </w:rPr>
        <w:t>German Participant</w:t>
      </w:r>
      <w:r>
        <w:rPr>
          <w:color w:val="000000"/>
        </w:rPr>
        <w:t>”</w:t>
      </w:r>
      <w:r>
        <w:rPr>
          <w:rFonts w:ascii="sans-serif" w:hAnsi="sans-serif"/>
          <w:b w:val="false"/>
          <w:color w:val="000000"/>
          <w:sz w:val="24"/>
        </w:rPr>
        <w:t>) in respect of earnings received from the Company or any of its affiliates being the Participant’s employing entity (the “</w:t>
      </w:r>
      <w:r>
        <w:rPr>
          <w:rFonts w:ascii="sans-serif" w:hAnsi="sans-serif"/>
          <w:b/>
          <w:i/>
          <w:color w:val="000000"/>
          <w:sz w:val="24"/>
        </w:rPr>
        <w:t>Employer</w:t>
      </w:r>
      <w:r>
        <w:rPr>
          <w:color w:val="000000"/>
        </w:rPr>
        <w:t>”</w:t>
      </w:r>
      <w:r>
        <w:rPr>
          <w:rFonts w:ascii="sans-serif" w:hAnsi="sans-serif"/>
          <w:b w:val="false"/>
          <w:color w:val="000000"/>
          <w:sz w:val="24"/>
        </w:rPr>
        <w:t>), if different shall notify the Employer of their participation in the Plan and any grant, exercise, vesting, issuance or payment under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2560"/>
                <wp:effectExtent l="0" t="0" r="0" b="0"/>
                <wp:wrapNone/>
                <wp:docPr id="51" name="Frame4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Appendix-5</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German Participant shall indemnify and hold harmless the Employer from and against any liability for or obligation to pay any Tax Liability arising in connection with the German Participant’s participation in the Plan.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Option cannot be exercised until Participant has made such arrangements with the company that is obliged to pay the Tax Liability as the Company may require for the satisfaction of any Tax Liability that may arise in connection with the exercise of the Option and/or the acquisition of the Shares by Participant. The Company shall not be required to issue, allot or transfer Shares until Participant has satisfied this obligation.</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Employer shall have the authority and the right to deduct or withhold or require the German Participant to remit to the Employer, an amount sufficient to satisfy any Tax Liability required to be withheld and/or paid including, without limitation, the authority to deduct such amount from other compensation payable to the German Participant by the Employer. </w:t>
      </w:r>
    </w:p>
    <w:p>
      <w:pPr>
        <w:pStyle w:val="TextBody"/>
        <w:bidi w:val="0"/>
        <w:spacing w:lineRule="auto" w:line="288" w:before="0" w:after="240"/>
        <w:jc w:val="both"/>
        <w:rPr/>
      </w:pPr>
      <w:r>
        <w:rPr>
          <w:color w:val="000000"/>
        </w:rPr>
        <w:t>„</w:t>
      </w:r>
      <w:r>
        <w:rPr>
          <w:rFonts w:ascii="sans-serif" w:hAnsi="sans-serif"/>
          <w:b/>
          <w:i/>
          <w:color w:val="000000"/>
          <w:sz w:val="24"/>
        </w:rPr>
        <w:t>Tax Liability</w:t>
      </w:r>
      <w:r>
        <w:rPr>
          <w:color w:val="000000"/>
        </w:rPr>
        <w:t xml:space="preserve">“ </w:t>
      </w:r>
      <w:r>
        <w:rPr>
          <w:rFonts w:ascii="sans-serif" w:hAnsi="sans-serif"/>
          <w:b w:val="false"/>
          <w:color w:val="000000"/>
          <w:sz w:val="24"/>
        </w:rPr>
        <w:t>shall be any liability for income tax, wage tax, solidarity surcharge, employee share of social security contributions, church tax, VAT and any other service or employment related taxes (as applicable), and in this regard also the German Participant’s portions arising as a result of the Plan. Whenever Awards are granted or paid, the Company or the Employer shall notify the German Participant of the amount of Tax Liability, if any, which must be withheld by the Employer under applicable tax laws. For the purposes of withholding, fair market value shall be determined under applicable German law and its interpretation by the German tax authorities.</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The German Participant understands that they may suffer adverse tax consequences as a result of the Awards which may exceed the amount, if any, actually withheld by the Company or the Employer. Neither the Company nor the Employer or any Subsidiary makes any representation or undertaking regarding the treatment of any tax withholding in connection with the granting, vesting, exercise, issuance or payment of Awards. The Company, the Employer and the Subsidiaries do not commit and are under no obligation to structure any Awards to reduce or eliminate the German Participant’s Tax Liability. The German Participant represents that the German Participant has had the opportunity to consult with any tax consultants the German Participant deems advisable in connection with the Awards and that the German Participant is not relying on the Company or the Employer for any tax advice. The German Participant is relying solely on such advisors and not on any statements or representations of the Company, the German Participant’s Employer or any of their agents.</w:t>
      </w:r>
    </w:p>
    <w:p>
      <w:pPr>
        <w:pStyle w:val="TextBody"/>
        <w:bidi w:val="0"/>
        <w:spacing w:lineRule="auto" w:line="288" w:before="0" w:after="240"/>
        <w:jc w:val="both"/>
        <w:rPr/>
      </w:pPr>
      <w:r>
        <w:rPr>
          <w:rFonts w:ascii="sans-serif" w:hAnsi="sans-serif"/>
          <w:b w:val="false"/>
          <w:color w:val="000000"/>
          <w:sz w:val="24"/>
          <w:u w:val="single"/>
        </w:rPr>
        <w:t>Labor Law Acknowledgment</w:t>
      </w:r>
      <w:r>
        <w:rPr>
          <w:rFonts w:ascii="sans-serif" w:hAnsi="sans-serif"/>
          <w:b w:val="false"/>
          <w:color w:val="000000"/>
          <w:sz w:val="24"/>
        </w:rPr>
        <w:t>. The German Participant acknowledges that (i) any Awards granted pursuant to the Plan are discretionary, (ii) the Plan and any supplementary agreements are not a part of the terms and conditions of the German Participant’s employment with the Employer and (iii) the income from the Awards, if any, is not part of the German Participant’s entitlement to remuneration from the Employer and is not to be considered in valuing employment benefits or severance payable in the event of the termination of the German Participant’s employment with the Employer.</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2560"/>
                <wp:effectExtent l="0" t="0" r="0" b="0"/>
                <wp:wrapNone/>
                <wp:docPr id="52" name="Frame5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Appendix-6</w:t>
                      </w:r>
                    </w:p>
                  </w:txbxContent>
                </v:textbox>
                <w10:wrap type="none"/>
              </v:rect>
            </w:pict>
          </mc:Fallback>
        </mc:AlternateContent>
      </w:r>
    </w:p>
    <w:p>
      <w:pPr>
        <w:pStyle w:val="TextBody"/>
        <w:bidi w:val="0"/>
        <w:spacing w:lineRule="auto" w:line="288"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288"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Cross-border payments in connection with the sale of securities in excess of EUR 12,500 must be reported monthly by accessing the electronic General Statistics Reporting Portal (</w:t>
      </w:r>
      <w:r>
        <w:rPr>
          <w:rFonts w:ascii="sans-serif" w:hAnsi="sans-serif"/>
          <w:b w:val="false"/>
          <w:i/>
          <w:color w:val="000000"/>
          <w:sz w:val="24"/>
        </w:rPr>
        <w:t>Allgemeines Meldeportal Statistik</w:t>
      </w:r>
      <w:r>
        <w:rPr>
          <w:rFonts w:ascii="sans-serif" w:hAnsi="sans-serif"/>
          <w:b w:val="false"/>
          <w:color w:val="000000"/>
          <w:sz w:val="24"/>
        </w:rPr>
        <w:t>) via the Bundesbank’s website (</w:t>
      </w:r>
      <w:r>
        <w:rPr>
          <w:rFonts w:ascii="sans-serif" w:hAnsi="sans-serif"/>
          <w:b w:val="false"/>
          <w:color w:val="0000FF"/>
          <w:sz w:val="24"/>
          <w:u w:val="single"/>
        </w:rPr>
        <w:t>www.bundesbank.de</w:t>
      </w:r>
      <w:r>
        <w:rPr>
          <w:rFonts w:ascii="sans-serif" w:hAnsi="sans-serif"/>
          <w:b w:val="false"/>
          <w:color w:val="000000"/>
          <w:sz w:val="24"/>
        </w:rPr>
        <w:t>). In addition, Participant may be required to report the acquisition of securities if the value of the securities acquired exceeds EUR 12,500 to the Bundesbank via email or telephone.</w:t>
      </w:r>
    </w:p>
    <w:p>
      <w:pPr>
        <w:pStyle w:val="TextBody"/>
        <w:bidi w:val="0"/>
        <w:spacing w:lineRule="auto" w:line="288"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German residents must notify their local tax office of the acquisition of Shares when they file their personal income tax returns for the relevant year if the value of the Shares acquired exceeds EUR 150,000 or in the unlikely event that the resident holds Shares exceeding 10% of the Company’s total Shares outstanding. However, if the Shares are listed on a recognized U.S. stock exchange and Participant owns less than 1% of the total Stock, this requirement will not apply even if Shares with a value exceeding EUR 150,000 are acquired. Participant should consult with Participant’s personal advisor(s) regarding any personal foreign asset/foreign account tax obligations Participant may have in connection with Participant’s participation in the Plan.</w:t>
      </w:r>
    </w:p>
    <w:p>
      <w:pPr>
        <w:pStyle w:val="TextBody"/>
        <w:bidi w:val="0"/>
        <w:spacing w:lineRule="auto" w:line="288" w:before="0" w:after="240"/>
        <w:jc w:val="both"/>
        <w:rPr/>
      </w:pPr>
      <w:r>
        <w:rPr>
          <w:rFonts w:ascii="sans-serif" w:hAnsi="sans-serif"/>
          <w:b w:val="false"/>
          <w:color w:val="000000"/>
          <w:sz w:val="24"/>
          <w:u w:val="single"/>
        </w:rPr>
        <w:t>Insider Trading</w:t>
      </w:r>
      <w:r>
        <w:rPr>
          <w:rFonts w:ascii="sans-serif" w:hAnsi="sans-serif"/>
          <w:b w:val="false"/>
          <w:color w:val="000000"/>
          <w:sz w:val="24"/>
        </w:rPr>
        <w:t>. By accepting the Awards, the German Participant acknowledges that they may be subject to insider trading rules, which may affect the sale of shares acquired upon under the Plan. German securities laws prohibit insider trading according to Article 14 of the Market Abuse Regulation (VO (EU) 596/2014) if the shares are traded, admitted or for which admission on trading has been requested on a trading venue in the European Union.</w:t>
      </w:r>
    </w:p>
    <w:p>
      <w:pPr>
        <w:pStyle w:val="TextBody"/>
        <w:bidi w:val="0"/>
        <w:spacing w:lineRule="auto" w:line="288" w:before="0" w:after="480"/>
        <w:jc w:val="both"/>
        <w:rPr/>
      </w:pPr>
      <w:r>
        <w:rPr>
          <w:rFonts w:ascii="sans-serif" w:hAnsi="sans-serif"/>
          <w:b w:val="false"/>
          <w:color w:val="000000"/>
          <w:sz w:val="24"/>
          <w:u w:val="single"/>
        </w:rPr>
        <w:t>Data Protection</w:t>
      </w:r>
      <w:r>
        <w:rPr>
          <w:rFonts w:ascii="sans-serif" w:hAnsi="sans-serif"/>
          <w:b w:val="false"/>
          <w:color w:val="000000"/>
          <w:sz w:val="24"/>
        </w:rPr>
        <w:t>. This provision replaces the section of the Appendix incorporating Section 11.8 of the Plan (“</w:t>
      </w:r>
      <w:r>
        <w:rPr>
          <w:rFonts w:ascii="sans-serif" w:hAnsi="sans-serif"/>
          <w:b/>
          <w:i/>
          <w:color w:val="000000"/>
          <w:sz w:val="24"/>
        </w:rPr>
        <w:t>Data Privacy</w:t>
      </w:r>
      <w:r>
        <w:rPr>
          <w:color w:val="000000"/>
        </w:rPr>
        <w:t>”</w:t>
      </w:r>
      <w:r>
        <w:rPr>
          <w:rFonts w:ascii="sans-serif" w:hAnsi="sans-serif"/>
          <w:b w:val="false"/>
          <w:color w:val="000000"/>
          <w:sz w:val="24"/>
        </w:rPr>
        <w:t>), which shall be disregarded in its entirety. The Company acts as controller in relation to the personal data which may be shared by the German Participant under the Plan, the Agreement and this Appendix. Such personal data will be processed in compliance with applicable data protection laws, in particular the EU General Data Protection Regulation (EU) 2016/679 (“</w:t>
      </w:r>
      <w:r>
        <w:rPr>
          <w:rFonts w:ascii="sans-serif" w:hAnsi="sans-serif"/>
          <w:b/>
          <w:i/>
          <w:color w:val="000000"/>
          <w:sz w:val="24"/>
        </w:rPr>
        <w:t>GDPR</w:t>
      </w:r>
      <w:r>
        <w:rPr>
          <w:color w:val="000000"/>
        </w:rPr>
        <w:t>”</w:t>
      </w:r>
      <w:r>
        <w:rPr>
          <w:rFonts w:ascii="sans-serif" w:hAnsi="sans-serif"/>
          <w:b w:val="false"/>
          <w:color w:val="000000"/>
          <w:sz w:val="24"/>
        </w:rPr>
        <w:t xml:space="preserve">). The Company independently determines the purposes and means for which personal data is processed under the Plan. To perform the Plan and to comply with the provisions therein and statutory retention obligations, the Company must collect, store, and otherwise process certain personal data of the German Participant (e.g. including, name contact details, and bank account details). Further information about the processing of personal data is set out in the privacy notice attached hereto as </w:t>
      </w:r>
      <w:r>
        <w:rPr>
          <w:rFonts w:ascii="sans-serif" w:hAnsi="sans-serif"/>
          <w:b w:val="false"/>
          <w:color w:val="000000"/>
          <w:sz w:val="24"/>
          <w:u w:val="single"/>
        </w:rPr>
        <w:t>Exhibit 1</w:t>
      </w:r>
      <w:r>
        <w:rPr>
          <w:rFonts w:ascii="sans-serif" w:hAnsi="sans-serif"/>
          <w:b w:val="false"/>
          <w:color w:val="000000"/>
          <w:sz w:val="24"/>
        </w:rPr>
        <w:t>.</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MALAYSIA</w:t>
      </w:r>
    </w:p>
    <w:p>
      <w:pPr>
        <w:pStyle w:val="TextBody"/>
        <w:bidi w:val="0"/>
        <w:spacing w:lineRule="auto" w:line="268" w:before="0" w:after="0"/>
        <w:jc w:val="both"/>
        <w:rPr>
          <w:rFonts w:ascii="sans-serif" w:hAnsi="sans-serif"/>
          <w:b/>
          <w:i/>
          <w:color w:val="000000"/>
          <w:sz w:val="24"/>
        </w:rPr>
      </w:pPr>
      <w:r>
        <w:rPr>
          <w:rFonts w:ascii="sans-serif" w:hAnsi="sans-serif"/>
          <w:b/>
          <w:i/>
          <w:color w:val="000000"/>
          <w:sz w:val="24"/>
        </w:rPr>
        <w:t>Terms and Conditions</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4"/>
          <w:u w:val="single"/>
        </w:rPr>
        <w:t>Securities Law Restrictions</w:t>
      </w:r>
      <w:r>
        <w:rPr>
          <w:rFonts w:ascii="sans-serif" w:hAnsi="sans-serif"/>
          <w:b w:val="false"/>
          <w:color w:val="000000"/>
          <w:sz w:val="24"/>
        </w:rPr>
        <w:t>.</w:t>
      </w:r>
      <w:r>
        <w:rPr>
          <w:color w:val="000000"/>
        </w:rPr>
        <w:t xml:space="preserve"> </w:t>
      </w:r>
      <w:r>
        <w:rPr>
          <w:rFonts w:ascii="sans-serif" w:hAnsi="sans-serif"/>
          <w:b w:val="false"/>
          <w:color w:val="000000"/>
          <w:sz w:val="24"/>
        </w:rPr>
        <w:t>Should the Company, in its sole discretion, determine that it is not feasible or practicable to comply with applicable securities laws in Malaysia, the Company may refuse to permit the exercise of this Option and to deliver any Shares subject to this Option.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2560"/>
                <wp:effectExtent l="0" t="0" r="0" b="0"/>
                <wp:wrapNone/>
                <wp:docPr id="53" name="Frame5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Appendix-7</w:t>
                      </w:r>
                    </w:p>
                  </w:txbxContent>
                </v:textbox>
                <w10:wrap type="none"/>
              </v:rect>
            </w:pict>
          </mc:Fallback>
        </mc:AlternateContent>
      </w:r>
    </w:p>
    <w:p>
      <w:pPr>
        <w:pStyle w:val="TextBody"/>
        <w:bidi w:val="0"/>
        <w:spacing w:lineRule="auto" w:line="268" w:before="0" w:after="0"/>
        <w:jc w:val="both"/>
        <w:rPr>
          <w:rFonts w:ascii="sans-serif" w:hAnsi="sans-serif"/>
          <w:b/>
          <w:i/>
          <w:color w:val="000000"/>
          <w:sz w:val="24"/>
        </w:rPr>
      </w:pPr>
      <w:r>
        <w:rPr>
          <w:rFonts w:ascii="sans-serif" w:hAnsi="sans-serif"/>
          <w:b/>
          <w:i/>
          <w:color w:val="000000"/>
          <w:sz w:val="24"/>
        </w:rPr>
        <w:t>Notifications</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4"/>
          <w:u w:val="single"/>
        </w:rPr>
        <w:t>Director Notification Obligation</w:t>
      </w:r>
      <w:r>
        <w:rPr>
          <w:rFonts w:ascii="sans-serif" w:hAnsi="sans-serif"/>
          <w:b w:val="false"/>
          <w:color w:val="000000"/>
          <w:sz w:val="24"/>
        </w:rPr>
        <w:t>. Participant understands that if Participant is a director of a Malaysian Related Company, Participant is subject to certain notification requirements under the Malaysian Companies Act. Among these requirements is an obligation to notify the relevant Malaysian Related Company in writing when Participant receives or disposes of an interest (e.g., an Option awarded under the Plan or Shares) in the Company. Such notifications must be made within five (5) business days of receiving or disposing of any interest in the Company.</w:t>
      </w:r>
    </w:p>
    <w:p>
      <w:pPr>
        <w:pStyle w:val="TextBody"/>
        <w:bidi w:val="0"/>
        <w:spacing w:before="0" w:after="240"/>
        <w:jc w:val="center"/>
        <w:rPr/>
      </w:pPr>
      <w:r>
        <w:rPr/>
      </w:r>
    </w:p>
    <w:p>
      <w:pPr>
        <w:pStyle w:val="TextBody"/>
        <w:bidi w:val="0"/>
        <w:spacing w:lineRule="auto" w:line="240" w:before="0" w:after="240"/>
        <w:ind w:left="0" w:right="0" w:firstLine="720"/>
        <w:jc w:val="center"/>
        <w:rPr>
          <w:rFonts w:ascii="sans-serif" w:hAnsi="sans-serif"/>
          <w:b/>
          <w:color w:val="000000"/>
          <w:sz w:val="24"/>
        </w:rPr>
      </w:pPr>
      <w:r>
        <w:rPr>
          <w:rFonts w:ascii="sans-serif" w:hAnsi="sans-serif"/>
          <w:b/>
          <w:color w:val="000000"/>
          <w:sz w:val="24"/>
        </w:rPr>
        <w:t>THE NETHERLANDS</w:t>
      </w:r>
    </w:p>
    <w:p>
      <w:pPr>
        <w:pStyle w:val="TextBody"/>
        <w:bidi w:val="0"/>
        <w:spacing w:lineRule="auto" w:line="288" w:before="0" w:after="0"/>
        <w:jc w:val="both"/>
        <w:rPr/>
      </w:pPr>
      <w:r>
        <w:rPr>
          <w:rFonts w:ascii="sans-serif" w:hAnsi="sans-serif"/>
          <w:b w:val="false"/>
          <w:color w:val="000000"/>
          <w:sz w:val="24"/>
          <w:u w:val="single"/>
        </w:rPr>
        <w:t>Withholding Taxes</w:t>
      </w:r>
      <w:r>
        <w:rPr>
          <w:rFonts w:ascii="sans-serif" w:hAnsi="sans-serif"/>
          <w:b w:val="false"/>
          <w:color w:val="000000"/>
          <w:sz w:val="24"/>
        </w:rPr>
        <w:t>. References to “withholding taxes” or similar terms in the Stock Option Agreement and the Plan shall include social insurance contributions including contributions based on the Health Insurance Act (</w:t>
      </w:r>
      <w:r>
        <w:rPr>
          <w:rFonts w:ascii="sans-serif" w:hAnsi="sans-serif"/>
          <w:b w:val="false"/>
          <w:i/>
          <w:color w:val="000000"/>
          <w:sz w:val="24"/>
        </w:rPr>
        <w:t>Zorgverzekeringwet</w:t>
      </w:r>
      <w:r>
        <w:rPr>
          <w:rFonts w:ascii="sans-serif" w:hAnsi="sans-serif"/>
          <w:b w:val="false"/>
          <w:color w:val="000000"/>
          <w:sz w:val="24"/>
        </w:rPr>
        <w:t>) and national insurance contributions (</w:t>
      </w:r>
      <w:r>
        <w:rPr>
          <w:rFonts w:ascii="sans-serif" w:hAnsi="sans-serif"/>
          <w:b w:val="false"/>
          <w:i/>
          <w:color w:val="000000"/>
          <w:sz w:val="24"/>
        </w:rPr>
        <w:t>volksverzekeringen</w:t>
      </w:r>
      <w:r>
        <w:rPr>
          <w:rFonts w:ascii="sans-serif" w:hAnsi="sans-serif"/>
          <w:b w:val="false"/>
          <w:color w:val="000000"/>
          <w:sz w:val="24"/>
        </w:rPr>
        <w:t>).</w:t>
      </w:r>
    </w:p>
    <w:p>
      <w:pPr>
        <w:pStyle w:val="TextBody"/>
        <w:bidi w:val="0"/>
        <w:spacing w:lineRule="auto" w:line="288" w:before="0" w:after="720"/>
        <w:jc w:val="both"/>
        <w:rPr/>
      </w:pPr>
      <w:r>
        <w:rPr>
          <w:rFonts w:ascii="sans-serif" w:hAnsi="sans-serif"/>
          <w:b w:val="false"/>
          <w:color w:val="000000"/>
          <w:sz w:val="24"/>
          <w:u w:val="single"/>
        </w:rPr>
        <w:t>Insider Trading</w:t>
      </w:r>
      <w:r>
        <w:rPr>
          <w:rFonts w:ascii="sans-serif" w:hAnsi="sans-serif"/>
          <w:b w:val="false"/>
          <w:color w:val="000000"/>
          <w:sz w:val="24"/>
        </w:rPr>
        <w:t>. On the basis of the Market Abuse Regulation (nr. 596/2014, the “</w:t>
      </w:r>
      <w:r>
        <w:rPr>
          <w:rFonts w:ascii="sans-serif" w:hAnsi="sans-serif"/>
          <w:b/>
          <w:i/>
          <w:color w:val="000000"/>
          <w:sz w:val="24"/>
        </w:rPr>
        <w:t>MAR</w:t>
      </w:r>
      <w:r>
        <w:rPr>
          <w:color w:val="000000"/>
        </w:rPr>
        <w:t>”</w:t>
      </w:r>
      <w:r>
        <w:rPr>
          <w:rFonts w:ascii="sans-serif" w:hAnsi="sans-serif"/>
          <w:b w:val="false"/>
          <w:color w:val="000000"/>
          <w:sz w:val="24"/>
        </w:rPr>
        <w:t>), it is amongst others prohibited to engage or attempt in insider dealing, to recommend that another person engages in insider dealing or induce another person to engage in insider dealing or to unlawfully disclose inside information. The Market Abuse Regulation applies throughout the European Union as of 3 July 2016. For further information, see the website of the Authority for the Financial Markets (“</w:t>
      </w:r>
      <w:r>
        <w:rPr>
          <w:rFonts w:ascii="sans-serif" w:hAnsi="sans-serif"/>
          <w:b/>
          <w:i/>
          <w:color w:val="000000"/>
          <w:sz w:val="24"/>
        </w:rPr>
        <w:t>AFM</w:t>
      </w:r>
      <w:r>
        <w:rPr>
          <w:color w:val="000000"/>
        </w:rPr>
        <w:t>”</w:t>
      </w:r>
      <w:r>
        <w:rPr>
          <w:rFonts w:ascii="sans-serif" w:hAnsi="sans-serif"/>
          <w:b w:val="false"/>
          <w:color w:val="000000"/>
          <w:sz w:val="24"/>
        </w:rPr>
        <w:t>); https://www.afm.nl/en/sector/themas/marktmisbruik/handel-met-voorwetenschap. By accepting the Option, Participant acknowledges that it is his or her responsibility to be aware of the Dutch insider trading rules, which may affect the sale of Shares Participant acquires upon exercise of the Option. In particular, Participant understands and acknowledges that (i) Participant has reviewed the summary of the Dutch insider trading rules and (ii) Participant may be prohibited from effecting certain transactions in Shares if Participant has insider information regarding the Company. Participant acknowledges and understands that Participant has been advised to read the discussion carefully to determine whether the insider rules could apply to Participant. If Participant is uncertain whether the insider rules apply to Participant or his or her situation, Participant acknowledges that the Company recommends that Participant consults with a legal advisor. Participant acknowledges and agrees that the Company cannot be held liable if Participant violates the Dutch insider trading rules. Participant acknowledges and agrees that Participant is responsible for ensuring his or her own compliance with these rules.</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POLAND</w:t>
      </w:r>
    </w:p>
    <w:p>
      <w:pPr>
        <w:pStyle w:val="TextBody"/>
        <w:bidi w:val="0"/>
        <w:spacing w:lineRule="auto" w:line="268" w:before="0" w:after="0"/>
        <w:jc w:val="both"/>
        <w:rPr>
          <w:rFonts w:ascii="sans-serif" w:hAnsi="sans-serif"/>
          <w:b/>
          <w:i/>
          <w:color w:val="000000"/>
          <w:sz w:val="24"/>
        </w:rPr>
      </w:pPr>
      <w:r>
        <w:rPr>
          <w:rFonts w:ascii="sans-serif" w:hAnsi="sans-serif"/>
          <w:b/>
          <w:i/>
          <w:color w:val="000000"/>
          <w:sz w:val="24"/>
        </w:rPr>
        <w:t>Notifications</w:t>
      </w:r>
    </w:p>
    <w:p>
      <w:pPr>
        <w:pStyle w:val="TextBody"/>
        <w:bidi w:val="0"/>
        <w:spacing w:before="0" w:after="0"/>
        <w:jc w:val="both"/>
        <w:rPr/>
      </w:pPr>
      <w:r>
        <w:rPr/>
      </w:r>
    </w:p>
    <w:p>
      <w:pPr>
        <w:pStyle w:val="TextBody"/>
        <w:bidi w:val="0"/>
        <w:spacing w:lineRule="auto" w:line="268"/>
        <w:jc w:val="both"/>
        <w:rPr/>
      </w:pPr>
      <w:r>
        <w:rPr>
          <w:rFonts w:ascii="sans-serif" w:hAnsi="sans-serif"/>
          <w:b w:val="false"/>
          <w:color w:val="000000"/>
          <w:sz w:val="24"/>
          <w:u w:val="single"/>
        </w:rPr>
        <w:t>Exchange Control Information</w:t>
      </w:r>
      <w:r>
        <w:rPr>
          <w:rFonts w:ascii="sans-serif" w:hAnsi="sans-serif"/>
          <w:b/>
          <w:color w:val="000000"/>
          <w:sz w:val="24"/>
        </w:rPr>
        <w:t xml:space="preserve">. </w:t>
      </w:r>
      <w:r>
        <w:rPr>
          <w:rFonts w:ascii="sans-serif" w:hAnsi="sans-serif"/>
          <w:b w:val="false"/>
          <w:color w:val="000000"/>
          <w:sz w:val="24"/>
        </w:rPr>
        <w:t xml:space="preserve">Polish residents holding foreign securities (including Shares) and maintaining accounts abroad must report information to the National Bank of Poland on transactions and balances of the securities and cash deposited in such accounts, if the value of such securities and cash (when combined with all other assets held abroad) exceeds PLN 7,000,000. If required, the reports must be filed on a quarterly basis on special forms available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2560"/>
                <wp:effectExtent l="0" t="0" r="0" b="0"/>
                <wp:wrapNone/>
                <wp:docPr id="54" name="Frame5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Appendix-8</w:t>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on the website of the National Bank of Poland. Transfers of funds into and out of Poland in excess of €15,000 (or PLN 15,000 if such transfer of funds is connected with the business activity of an entrepreneur) must be made via a bank account in Poland. Participant should store all documents connected with any foreign exchange transactions that Participant is engaged in for a period of five years, as measured from the end of the year in which such transaction occurred.</w:t>
      </w:r>
    </w:p>
    <w:p>
      <w:pPr>
        <w:pStyle w:val="TextBody"/>
        <w:bidi w:val="0"/>
        <w:spacing w:before="0" w:after="0"/>
        <w:jc w:val="both"/>
        <w:rPr/>
      </w:pPr>
      <w:r>
        <w:rPr/>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SPAIN</w:t>
      </w:r>
    </w:p>
    <w:p>
      <w:pPr>
        <w:pStyle w:val="TextBody"/>
        <w:bidi w:val="0"/>
        <w:spacing w:lineRule="auto" w:line="288" w:before="0" w:after="240"/>
        <w:jc w:val="both"/>
        <w:rPr/>
      </w:pPr>
      <w:r>
        <w:rPr>
          <w:rFonts w:ascii="sans-serif" w:hAnsi="sans-serif"/>
          <w:b w:val="false"/>
          <w:color w:val="000000"/>
          <w:sz w:val="24"/>
          <w:u w:val="single"/>
        </w:rPr>
        <w:t>Nature of Grant</w:t>
      </w:r>
      <w:r>
        <w:rPr>
          <w:rFonts w:ascii="sans-serif" w:hAnsi="sans-serif"/>
          <w:b w:val="false"/>
          <w:color w:val="000000"/>
          <w:sz w:val="24"/>
        </w:rPr>
        <w:t>. By accepting the Option, Participant consents to participation in the Plan and acknowledge that Participant has received a copy of the Plan. Participant understands that the Company has unilaterally, gratuitously and discretionally decided to grant options under the Plan to individuals who may be employees of the Company or of a parent or affiliate throughout the world. This decision is a limited decision that is entered into upon the express assumption and condition that any grant will not bind the Company or any parent or affiliate other than as expressly set forth in the Stock Option Agreement. Consequently, Participant understands that the Option is an extraordinary remuneration and that it is granted on the assumption and condition that the Option and any Shares acquired under the Plan are not part of any employment or service contract (either with the Company or with any parent or affiliate) and shall not be considered a mandatory benefit or salary for any purpose (including severance compensation) or otherwise normal or expected compensation or salary for any purposes, including, but not limited to, calculating any severance, resignation, termination, redundancy, dismissal, end of service payments, bonuses, long-service awards, pension or retirement or welfare benefits or similar payments or any other right whatsoever. Further, Participant understands and agrees that, unless otherwise expressly provided for by the Company or set forth in the Plan or the Stock Option Agreement, the Option will be cancelled without entitlement to any Shares underlying the option if Participant incurs a Termination of Service for any reason, including, but not limited to: resignation, retirement, disciplinary dismissal whether with cause or without cause (i.e. “</w:t>
      </w:r>
      <w:r>
        <w:rPr>
          <w:rFonts w:ascii="sans-serif" w:hAnsi="sans-serif"/>
          <w:b w:val="false"/>
          <w:i/>
          <w:color w:val="000000"/>
          <w:sz w:val="24"/>
        </w:rPr>
        <w:t>despido improcedente</w:t>
      </w:r>
      <w:r>
        <w:rPr>
          <w:color w:val="000000"/>
        </w:rPr>
        <w:t xml:space="preserve">” </w:t>
      </w:r>
      <w:r>
        <w:rPr>
          <w:rFonts w:ascii="sans-serif" w:hAnsi="sans-serif"/>
          <w:b w:val="false"/>
          <w:color w:val="000000"/>
          <w:sz w:val="24"/>
        </w:rPr>
        <w:t>in case Participant is an employee of the Company), termination of employment resulting from a material modification of the terms of employment under Article 41 of the Workers’ Statute, termination of employment resulting from a relocation under Article 40 of the Workers’ Statute, termination of employment under the provisions set forth in Article 50 of the Workers’ Statute, or under Article 10.3 of Royal Decree 1382/1985.</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or right to, the Option shall be null and void.</w:t>
      </w:r>
    </w:p>
    <w:p>
      <w:pPr>
        <w:pStyle w:val="TextBody"/>
        <w:bidi w:val="0"/>
        <w:spacing w:lineRule="auto" w:line="288"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xml:space="preserve">. Participant must declare the acquisition, ownership and disposition of Shares to the </w:t>
      </w:r>
      <w:r>
        <w:rPr>
          <w:rFonts w:ascii="sans-serif" w:hAnsi="sans-serif"/>
          <w:b w:val="false"/>
          <w:i/>
          <w:color w:val="000000"/>
          <w:sz w:val="24"/>
        </w:rPr>
        <w:t xml:space="preserve">Dirección General de Comercio e Inversiones </w:t>
      </w:r>
      <w:r>
        <w:rPr>
          <w:rFonts w:ascii="sans-serif" w:hAnsi="sans-serif"/>
          <w:b w:val="false"/>
          <w:color w:val="000000"/>
          <w:sz w:val="24"/>
        </w:rPr>
        <w:t>of the Ministry of Industry and Commerce and Tourism (the “</w:t>
      </w:r>
      <w:r>
        <w:rPr>
          <w:rFonts w:ascii="sans-serif" w:hAnsi="sans-serif"/>
          <w:b/>
          <w:i/>
          <w:color w:val="000000"/>
          <w:sz w:val="24"/>
        </w:rPr>
        <w:t>DGCI</w:t>
      </w:r>
      <w:r>
        <w:rPr>
          <w:color w:val="000000"/>
        </w:rPr>
        <w:t>”</w:t>
      </w:r>
      <w:r>
        <w:rPr>
          <w:rFonts w:ascii="sans-serif" w:hAnsi="sans-serif"/>
          <w:b w:val="false"/>
          <w:color w:val="000000"/>
          <w:sz w:val="24"/>
        </w:rPr>
        <w:t xml:space="preserve">) within the following month to the date of acquisition of the Shares. This declaration is provided to the Ministry of Industry and Commerce and Tourism for statistical purposes only. Generally, the declaration must be made in January for Shares (and any other securities) owned as of December 31 of each year; however, if the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2560"/>
                <wp:effectExtent l="0" t="0" r="0" b="0"/>
                <wp:wrapNone/>
                <wp:docPr id="55" name="Frame5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Appendix-9</w:t>
                      </w:r>
                    </w:p>
                  </w:txbxContent>
                </v:textbox>
                <w10:wrap type="none"/>
              </v:rect>
            </w:pict>
          </mc:Fallback>
        </mc:AlternateContent>
      </w:r>
    </w:p>
    <w:p>
      <w:pPr>
        <w:pStyle w:val="TextBody"/>
        <w:bidi w:val="0"/>
        <w:spacing w:lineRule="auto" w:line="288" w:before="0" w:after="240"/>
        <w:jc w:val="both"/>
        <w:rPr/>
      </w:pPr>
      <w:r>
        <w:rPr>
          <w:rFonts w:ascii="sans-serif" w:hAnsi="sans-serif"/>
          <w:b w:val="false"/>
          <w:color w:val="000000"/>
          <w:sz w:val="24"/>
        </w:rPr>
        <w:t xml:space="preserve">value of the Shares acquired or disposed of or the amount of the sale proceeds exceeds certain thresholds, the declaration must be filed within one month of the acquisition or disposition, as applicable. </w:t>
      </w:r>
      <w:r>
        <w:rPr>
          <w:rFonts w:ascii="sans-serif" w:hAnsi="sans-serif"/>
          <w:b w:val="false"/>
          <w:i/>
          <w:color w:val="000000"/>
          <w:sz w:val="24"/>
        </w:rPr>
        <w:t>Participant should consult Participant’s personal legal advisor for further information regarding Participant’s reporting obligations.</w:t>
      </w:r>
      <w:r>
        <w:rPr>
          <w:color w:val="000000"/>
        </w:rPr>
        <w:t xml:space="preserve"> </w:t>
      </w:r>
      <w:r>
        <w:rPr>
          <w:rFonts w:ascii="sans-serif" w:hAnsi="sans-serif"/>
          <w:b w:val="false"/>
          <w:color w:val="000000"/>
          <w:sz w:val="24"/>
        </w:rPr>
        <w:t xml:space="preserve">In addition, Participant is required to electronically declare to the Bank of Spain any transactions performed with non-residents; and (ii) the balances of assets and liabilities, and any changes in those foreign positions including but not limited to any security accounts (including brokerage accounts held abroad), as well as the securities (including Shares acquired under the Plan) held in such accounts if the value of the transactions for all such accounts during the prior year or the balances of such accounts as of December 31 of the prior year exceeds EUR 1 million but are below EUR 100 million. Different thresholds and deadlines to file this declaration apply. However, if neither such transactions during the immediately preceding year nor the balances / positions as of December 31 exceed EUR 1 million,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 </w:t>
      </w:r>
      <w:r>
        <w:rPr>
          <w:rFonts w:ascii="sans-serif" w:hAnsi="sans-serif"/>
          <w:b w:val="false"/>
          <w:i/>
          <w:color w:val="000000"/>
          <w:sz w:val="24"/>
        </w:rPr>
        <w:t>Participant should consult Participant’s personal legal advisor for further information regarding Participant’s exchange control reporting obligations.</w:t>
      </w:r>
    </w:p>
    <w:p>
      <w:pPr>
        <w:pStyle w:val="TextBody"/>
        <w:bidi w:val="0"/>
        <w:spacing w:lineRule="auto" w:line="288" w:before="0" w:after="240"/>
        <w:jc w:val="both"/>
        <w:rPr/>
      </w:pPr>
      <w:r>
        <w:rPr>
          <w:rFonts w:ascii="sans-serif" w:hAnsi="sans-serif"/>
          <w:b w:val="false"/>
          <w:color w:val="000000"/>
          <w:sz w:val="24"/>
          <w:u w:val="single"/>
        </w:rPr>
        <w:t>Securities Law Information</w:t>
      </w:r>
      <w:r>
        <w:rPr>
          <w:rFonts w:ascii="sans-serif" w:hAnsi="sans-serif"/>
          <w:b w:val="false"/>
          <w:color w:val="000000"/>
          <w:sz w:val="24"/>
        </w:rPr>
        <w:t xml:space="preserve">. The Option does not qualify under Spanish regulations as a security. No “offer of securities to the public,” as defined under Spanish law, has taken place or will take place in the Spanish territory in connection with the grant of the Option. The Agreement has not been, nor will it be, registered with the </w:t>
      </w:r>
      <w:r>
        <w:rPr>
          <w:rFonts w:ascii="sans-serif" w:hAnsi="sans-serif"/>
          <w:b w:val="false"/>
          <w:i/>
          <w:color w:val="000000"/>
          <w:sz w:val="24"/>
        </w:rPr>
        <w:t>Comisión Nacional del Mercado de Valores</w:t>
      </w:r>
      <w:r>
        <w:rPr>
          <w:rFonts w:ascii="sans-serif" w:hAnsi="sans-serif"/>
          <w:b w:val="false"/>
          <w:color w:val="000000"/>
          <w:sz w:val="24"/>
        </w:rPr>
        <w:t>, and does not constitute a public offering or prospectus.</w:t>
      </w:r>
    </w:p>
    <w:p>
      <w:pPr>
        <w:pStyle w:val="TextBody"/>
        <w:bidi w:val="0"/>
        <w:spacing w:lineRule="auto" w:line="288"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To the extent Participant holds rights or assets (</w:t>
      </w:r>
      <w:r>
        <w:rPr>
          <w:rFonts w:ascii="sans-serif" w:hAnsi="sans-serif"/>
          <w:b w:val="false"/>
          <w:i/>
          <w:color w:val="000000"/>
          <w:sz w:val="24"/>
        </w:rPr>
        <w:t>e.g.,</w:t>
      </w:r>
      <w:r>
        <w:rPr>
          <w:color w:val="000000"/>
        </w:rPr>
        <w:t xml:space="preserve"> </w:t>
      </w:r>
      <w:r>
        <w:rPr>
          <w:rFonts w:ascii="sans-serif" w:hAnsi="sans-serif"/>
          <w:b w:val="false"/>
          <w:color w:val="000000"/>
          <w:sz w:val="24"/>
        </w:rPr>
        <w:t xml:space="preserve">cash or Shares held in a bank or brokerage account) outside of Spain with a value in excess of €50,000 per type of right or asset as of December 31 each year (or at any time during the year in which you sell or dispose of such rights or assets), Participant is required to report information on such rights and assets on his or her tax return for such year. After such rights or assets are initially reported, the reporting obligation will only apply for subsequent years if the value of any previously-reported rights or assets increases by more than €20,000. </w:t>
      </w:r>
      <w:r>
        <w:rPr>
          <w:rFonts w:ascii="sans-serif" w:hAnsi="sans-serif"/>
          <w:b w:val="false"/>
          <w:i/>
          <w:color w:val="000000"/>
          <w:sz w:val="24"/>
        </w:rPr>
        <w:t>Participant should consult with Participant’s personal tax advisor to ensure compliance with applicable reporting requirements.</w:t>
      </w:r>
    </w:p>
    <w:p>
      <w:pPr>
        <w:pStyle w:val="TextBody"/>
        <w:bidi w:val="0"/>
        <w:spacing w:lineRule="auto" w:line="288" w:before="0" w:after="240"/>
        <w:jc w:val="both"/>
        <w:rPr/>
      </w:pPr>
      <w:r>
        <w:rPr>
          <w:rFonts w:ascii="sans-serif" w:hAnsi="sans-serif"/>
          <w:b w:val="false"/>
          <w:color w:val="000000"/>
          <w:sz w:val="24"/>
          <w:u w:val="single"/>
        </w:rPr>
        <w:t>Withholding</w:t>
      </w:r>
      <w:r>
        <w:rPr>
          <w:rFonts w:ascii="sans-serif" w:hAnsi="sans-serif"/>
          <w:b w:val="false"/>
          <w:color w:val="000000"/>
          <w:sz w:val="24"/>
        </w:rPr>
        <w:t xml:space="preserve">. </w:t>
      </w:r>
    </w:p>
    <w:p>
      <w:pPr>
        <w:pStyle w:val="TextBody"/>
        <w:bidi w:val="0"/>
        <w:spacing w:lineRule="auto" w:line="288" w:before="0" w:after="240"/>
        <w:ind w:left="0" w:right="0" w:hanging="360"/>
        <w:jc w:val="both"/>
        <w:rPr/>
      </w:pPr>
      <w:r>
        <w:rPr>
          <w:rFonts w:ascii="sans-serif" w:hAnsi="sans-serif"/>
          <w:b w:val="false"/>
          <w:color w:val="000000"/>
          <w:sz w:val="24"/>
        </w:rPr>
        <w:t>(a)Whenever the Option is exercised, the Company or its relevant subsidiary that employs or engages Participant (the “</w:t>
      </w:r>
      <w:r>
        <w:rPr>
          <w:rFonts w:ascii="sans-serif" w:hAnsi="sans-serif"/>
          <w:b/>
          <w:i/>
          <w:color w:val="000000"/>
          <w:sz w:val="24"/>
        </w:rPr>
        <w:t>Participant’s Employer</w:t>
      </w:r>
      <w:r>
        <w:rPr>
          <w:color w:val="000000"/>
        </w:rPr>
        <w:t>”</w:t>
      </w:r>
      <w:r>
        <w:rPr>
          <w:rFonts w:ascii="sans-serif" w:hAnsi="sans-serif"/>
          <w:b w:val="false"/>
          <w:color w:val="000000"/>
          <w:sz w:val="24"/>
        </w:rPr>
        <w:t xml:space="preserve">), if different, in accordance with the terms of the Plan, will comply with all applicable withholding tax and social security laws and regulations, and will be entitled to take any action necessary to fulfil its tax and social security obligations. Participant hereby agrees that the Company or Participant’s Employer, if different, may withhold Shares otherwise issuable upon the exercise of the Option, or a portion thereof, sufficient for the Company or Participant’s Employer to cover an amount required by law to be withheld or otherwise arising with respect to any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2560"/>
                <wp:effectExtent l="0" t="0" r="0" b="0"/>
                <wp:wrapNone/>
                <wp:docPr id="56" name="Frame5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Appendix-10</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taxable event arising as a result of any Option. The number of Shares which may be so withheld shall be limited to the number of Shares which have a Fair Market Value (as defined in the Plan, but in case the Common Stock is neither listed nor regularly quoted on a national market or other quotation system, it will be determined by the Administrator in a manner consistent with applicable tax laws), determined on the date when the amount of tax to be withheld is to be determined pursuant to the applicable law, no greater than the aggregate amount of such liabilities based on the maximum statutory withholding rates for tax purposes, in accordance with the applicable laws, that are applicable to such taxable income (or such other amount as would not result in adverse financial accounting consequences for the Company or any of its subsidiaries). </w:t>
      </w:r>
    </w:p>
    <w:p>
      <w:pPr>
        <w:pStyle w:val="TextBody"/>
        <w:bidi w:val="0"/>
        <w:spacing w:lineRule="auto" w:line="288" w:before="0" w:after="240"/>
        <w:ind w:left="0" w:right="0" w:hanging="360"/>
        <w:jc w:val="both"/>
        <w:rPr>
          <w:rFonts w:ascii="sans-serif" w:hAnsi="sans-serif"/>
          <w:b w:val="false"/>
          <w:color w:val="000000"/>
          <w:sz w:val="24"/>
        </w:rPr>
      </w:pPr>
      <w:r>
        <w:rPr>
          <w:rFonts w:ascii="sans-serif" w:hAnsi="sans-serif"/>
          <w:b w:val="false"/>
          <w:color w:val="000000"/>
          <w:sz w:val="24"/>
        </w:rPr>
        <w:t>(b)In their absolute discretion, the Company or Participant’s Employer may (i) withhold amounts from Participant’s wages in order to fulfil the Company or Participant’s Employer withholding tax obligations, or (ii) authorize Participant to satisfy the withholding amounts referred to above by means of a cash payment. Request for such cash payment shall be made in writing by Participant in a form acceptable to the Company and shall be subject to the following restrictions: (i) the election must be made on or prior to the date when the amount of tax to be withheld is to be determined pursuant to the applicable law; and (ii) once made, the election shall be irrevocable as to the particular Shares for which the election is made. Any adverse consequences for Participant arising in connection with the withholding procedures described above shall be the sole responsibility of Participant.</w:t>
      </w:r>
    </w:p>
    <w:p>
      <w:pPr>
        <w:pStyle w:val="TextBody"/>
        <w:bidi w:val="0"/>
        <w:spacing w:lineRule="auto" w:line="288" w:before="0" w:after="240"/>
        <w:ind w:left="0" w:right="0" w:hanging="360"/>
        <w:jc w:val="both"/>
        <w:rPr/>
      </w:pPr>
      <w:r>
        <w:rPr>
          <w:rFonts w:ascii="sans-serif" w:hAnsi="sans-serif"/>
          <w:b w:val="false"/>
          <w:color w:val="000000"/>
          <w:sz w:val="24"/>
        </w:rPr>
        <w:t>(c)Participant agrees to indemnify and keep indemnified the Company, any parent or subsidiary including Participant’s Employer from and against any liability for or obligation to pay any Tax Liability (a “</w:t>
      </w:r>
      <w:r>
        <w:rPr>
          <w:rFonts w:ascii="sans-serif" w:hAnsi="sans-serif"/>
          <w:b/>
          <w:i/>
          <w:color w:val="000000"/>
          <w:sz w:val="24"/>
        </w:rPr>
        <w:t>Tax Liability</w:t>
      </w:r>
      <w:r>
        <w:rPr>
          <w:color w:val="000000"/>
        </w:rPr>
        <w:t xml:space="preserve">” </w:t>
      </w:r>
      <w:r>
        <w:rPr>
          <w:rFonts w:ascii="sans-serif" w:hAnsi="sans-serif"/>
          <w:b w:val="false"/>
          <w:color w:val="000000"/>
          <w:sz w:val="24"/>
        </w:rPr>
        <w:t>being any liability for income tax, withholding tax and any other employment related taxes in any jurisdiction) that is attributable to (1) the grant or exercise of, or any benefit derived by Participant from, the Option or the Shares which are the subject of the Option, (2) the transfer or issue of Shares to Participant on satisfaction of the Option or any other benefit on exercise of the Option, (3) any restrictions applicable to the Shares held by Participant ceasing to apply to those shares, or (4) the disposal of any Shares (each of those events referred to as a “</w:t>
      </w:r>
      <w:r>
        <w:rPr>
          <w:rFonts w:ascii="sans-serif" w:hAnsi="sans-serif"/>
          <w:b/>
          <w:i/>
          <w:color w:val="000000"/>
          <w:sz w:val="24"/>
        </w:rPr>
        <w:t>Taxable Event</w:t>
      </w:r>
      <w:r>
        <w:rPr>
          <w:color w:val="000000"/>
        </w:rPr>
        <w:t>”</w:t>
      </w:r>
      <w:r>
        <w:rPr>
          <w:rFonts w:ascii="sans-serif" w:hAnsi="sans-serif"/>
          <w:b w:val="false"/>
          <w:color w:val="000000"/>
          <w:sz w:val="24"/>
        </w:rPr>
        <w:t>).</w:t>
      </w:r>
    </w:p>
    <w:p>
      <w:pPr>
        <w:pStyle w:val="TextBody"/>
        <w:bidi w:val="0"/>
        <w:spacing w:lineRule="auto" w:line="288" w:before="0" w:after="240"/>
        <w:jc w:val="both"/>
        <w:rPr/>
      </w:pPr>
      <w:r>
        <w:rPr>
          <w:rFonts w:ascii="sans-serif" w:hAnsi="sans-serif"/>
          <w:b w:val="false"/>
          <w:color w:val="000000"/>
          <w:sz w:val="24"/>
          <w:u w:val="single"/>
        </w:rPr>
        <w:t>Spanish Language Provision</w:t>
      </w:r>
      <w:r>
        <w:rPr>
          <w:rFonts w:ascii="sans-serif" w:hAnsi="sans-serif"/>
          <w:b w:val="false"/>
          <w:color w:val="000000"/>
          <w:sz w:val="24"/>
        </w:rPr>
        <w:t>. By signing and returning this Agreement, Participant confirms having read and understood the documents relating to the Plan and the Agreement which were provided to Participant in English language. Participant accepts the terms of those documents accordingly.</w:t>
      </w:r>
    </w:p>
    <w:p>
      <w:pPr>
        <w:pStyle w:val="TextBody"/>
        <w:bidi w:val="0"/>
        <w:spacing w:lineRule="auto" w:line="288" w:before="0" w:after="240"/>
        <w:jc w:val="both"/>
        <w:rPr/>
      </w:pPr>
      <w:r>
        <w:rPr>
          <w:rFonts w:ascii="sans-serif" w:hAnsi="sans-serif"/>
          <w:b w:val="false"/>
          <w:color w:val="000000"/>
          <w:sz w:val="24"/>
          <w:u w:val="single"/>
        </w:rPr>
        <w:t>Data Protection</w:t>
      </w:r>
      <w:r>
        <w:rPr>
          <w:rFonts w:ascii="sans-serif" w:hAnsi="sans-serif"/>
          <w:b w:val="false"/>
          <w:color w:val="000000"/>
          <w:sz w:val="24"/>
        </w:rPr>
        <w:t>: The Company will collect and process information relating to Spain-based Participants in accordance with the privacy notice which has been or will be provided to Participant separately.</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2560"/>
                <wp:effectExtent l="0" t="0" r="0" b="0"/>
                <wp:wrapNone/>
                <wp:docPr id="57" name="Frame5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Appendix-11</w:t>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UNITED KINGDOM</w:t>
      </w:r>
    </w:p>
    <w:p>
      <w:pPr>
        <w:pStyle w:val="TextBody"/>
        <w:bidi w:val="0"/>
        <w:spacing w:lineRule="auto" w:line="288" w:before="0" w:after="240"/>
        <w:ind w:left="0" w:right="0" w:firstLine="720"/>
        <w:jc w:val="both"/>
        <w:rPr/>
      </w:pPr>
      <w:r>
        <w:rPr>
          <w:rFonts w:ascii="sans-serif" w:hAnsi="sans-serif"/>
          <w:b w:val="false"/>
          <w:color w:val="000000"/>
          <w:sz w:val="24"/>
        </w:rPr>
        <w:t>[</w:t>
      </w:r>
      <w:r>
        <w:rPr>
          <w:rFonts w:ascii="sans-serif" w:hAnsi="sans-serif"/>
          <w:b w:val="false"/>
          <w:i/>
          <w:color w:val="000000"/>
          <w:sz w:val="24"/>
        </w:rPr>
        <w:t>for employees only</w:t>
      </w:r>
      <w:r>
        <w:rPr>
          <w:rFonts w:ascii="sans-serif" w:hAnsi="sans-serif"/>
          <w:b w:val="false"/>
          <w:color w:val="000000"/>
          <w:sz w:val="24"/>
        </w:rPr>
        <w:t>]</w:t>
      </w:r>
    </w:p>
    <w:p>
      <w:pPr>
        <w:pStyle w:val="TextBody"/>
        <w:bidi w:val="0"/>
        <w:spacing w:lineRule="auto" w:line="288" w:before="0" w:after="240"/>
        <w:jc w:val="both"/>
        <w:rPr/>
      </w:pPr>
      <w:r>
        <w:rPr>
          <w:rFonts w:ascii="sans-serif" w:hAnsi="sans-serif"/>
          <w:b w:val="false"/>
          <w:color w:val="000000"/>
          <w:sz w:val="24"/>
          <w:u w:val="single"/>
        </w:rPr>
        <w:t>Definitions</w:t>
      </w:r>
      <w:r>
        <w:rPr>
          <w:rFonts w:ascii="sans-serif" w:hAnsi="sans-serif"/>
          <w:b w:val="false"/>
          <w:color w:val="000000"/>
          <w:sz w:val="24"/>
        </w:rPr>
        <w:t>. The phrases “termination of service” or “termination of employment” as used in the Plan and the Agreement shall mean Participant’s Termination of Employment. For this purpose, “</w:t>
      </w:r>
      <w:r>
        <w:rPr>
          <w:rFonts w:ascii="sans-serif" w:hAnsi="sans-serif"/>
          <w:b/>
          <w:i/>
          <w:color w:val="000000"/>
          <w:sz w:val="24"/>
        </w:rPr>
        <w:t>Termination of Employment</w:t>
      </w:r>
      <w:r>
        <w:rPr>
          <w:color w:val="000000"/>
        </w:rPr>
        <w:t xml:space="preserve">” </w:t>
      </w:r>
      <w:r>
        <w:rPr>
          <w:rFonts w:ascii="sans-serif" w:hAnsi="sans-serif"/>
          <w:b w:val="false"/>
          <w:color w:val="000000"/>
          <w:sz w:val="24"/>
        </w:rPr>
        <w:t>means the time when the employee-employer relationship between Participant and the Company or any subsidiary is terminated for any reason, with or without cause, including, but not by way of limitation, a termination by resignation, discharge, death, disability or retirement; but excluding terminations where there is a simultaneous reemployment or continuing employment of Participant by the Company or any subsidiary. The Administrator, in its absolute discretion, shall determine the effect of all matters and questions relating to a Termination of Employment, including, but not by way of limitation, the question of whether a particular leave of absence constitutes a Termination of Employment.</w:t>
      </w:r>
    </w:p>
    <w:p>
      <w:pPr>
        <w:pStyle w:val="TextBody"/>
        <w:bidi w:val="0"/>
        <w:spacing w:lineRule="auto" w:line="288" w:before="0" w:after="240"/>
        <w:jc w:val="both"/>
        <w:rPr/>
      </w:pPr>
      <w:r>
        <w:rPr>
          <w:rFonts w:ascii="sans-serif" w:hAnsi="sans-serif"/>
          <w:b w:val="false"/>
          <w:color w:val="000000"/>
          <w:sz w:val="24"/>
          <w:u w:val="single"/>
        </w:rPr>
        <w:t>Participants</w:t>
      </w:r>
      <w:r>
        <w:rPr>
          <w:rFonts w:ascii="sans-serif" w:hAnsi="sans-serif"/>
          <w:b w:val="false"/>
          <w:color w:val="000000"/>
          <w:sz w:val="24"/>
        </w:rPr>
        <w:t>. The Agreement as amended by this Appendix forms the rules of the employee share scheme applicable to the United Kingdom-based Participants of the Company and any subsidiaries. Only employees of the Company or any Subsidiary are eligible to be granted Options or be issued Shares under the Agreement. All awards granted to employees of the Company or any Subsidiary who are based in the United Kingdom will be granted on similar terms. Other Service Providers (including consultants or non-employee directors) who are not employees are not eligible to receive Options under the Agreement in the United Kingdom. The Agreement incorporates the terms of the Plan with the exception that reference to “Service Provider” when used in the Plan (as incorporated into this Agreement) and in the Agreement itself shall mean employee of the Company or any Subsidiary only and shall not include other persons providing services to the Company or any Subsidiary. Accordingly, all references in the Agreement to Participant’s “Service” or “Termination of Service” shall be interpreted as references to Participant’s employment or Termination of Employment.</w:t>
      </w:r>
    </w:p>
    <w:p>
      <w:pPr>
        <w:pStyle w:val="TextBody"/>
        <w:bidi w:val="0"/>
        <w:spacing w:lineRule="auto" w:line="288" w:before="0" w:after="240"/>
        <w:jc w:val="both"/>
        <w:rPr/>
      </w:pPr>
      <w:r>
        <w:rPr>
          <w:rFonts w:ascii="sans-serif" w:hAnsi="sans-serif"/>
          <w:b w:val="false"/>
          <w:color w:val="000000"/>
          <w:sz w:val="24"/>
          <w:u w:val="single"/>
        </w:rPr>
        <w:t>Not a Contract of Employment</w:t>
      </w:r>
      <w:r>
        <w:rPr>
          <w:rFonts w:ascii="sans-serif" w:hAnsi="sans-serif"/>
          <w:b w:val="false"/>
          <w:color w:val="000000"/>
          <w:sz w:val="24"/>
        </w:rPr>
        <w:t>. Nothing in the Agreement or in the Plan shall confer upon Participant any right to continue to serve as an employee of the Company or any of its subsidiaries and the grant of the Option does not form part of Participant’s entitlement to remuneration or benefits in terms of his employment with the Company or any subsidiary.</w:t>
      </w:r>
    </w:p>
    <w:p>
      <w:pPr>
        <w:pStyle w:val="TextBody"/>
        <w:bidi w:val="0"/>
        <w:spacing w:lineRule="auto" w:line="288" w:before="0" w:after="240"/>
        <w:jc w:val="both"/>
        <w:rPr/>
      </w:pPr>
      <w:r>
        <w:rPr>
          <w:rFonts w:ascii="sans-serif" w:hAnsi="sans-serif"/>
          <w:b w:val="false"/>
          <w:color w:val="000000"/>
          <w:sz w:val="24"/>
          <w:u w:val="single"/>
        </w:rPr>
        <w:t>Tax and National Insurance Contributions Acknowledgment</w:t>
      </w:r>
      <w:r>
        <w:rPr>
          <w:rFonts w:ascii="sans-serif" w:hAnsi="sans-serif"/>
          <w:b w:val="false"/>
          <w:color w:val="000000"/>
          <w:sz w:val="24"/>
        </w:rPr>
        <w:t>. Participant agrees that Participant is liable for the full amount of all U.S. and non-U.S. federal, state and/or local taxes (including, without limitation, income tax, withholding tax, social insurance contributions, fringe benefit tax, employment tax, stamp tax and any employer tax liability which has been transferred to Participant, and including employee’s National Insurance contributions (“</w:t>
      </w:r>
      <w:r>
        <w:rPr>
          <w:rFonts w:ascii="sans-serif" w:hAnsi="sans-serif"/>
          <w:b/>
          <w:i/>
          <w:color w:val="000000"/>
          <w:sz w:val="24"/>
        </w:rPr>
        <w:t>NICs</w:t>
      </w:r>
      <w:r>
        <w:rPr>
          <w:color w:val="000000"/>
        </w:rPr>
        <w:t>”</w:t>
      </w:r>
      <w:r>
        <w:rPr>
          <w:rFonts w:ascii="sans-serif" w:hAnsi="sans-serif"/>
          <w:b w:val="false"/>
          <w:color w:val="000000"/>
          <w:sz w:val="24"/>
        </w:rPr>
        <w:t>) and (at the discretion of the Company) employer’s NICs (or other similar obligations wherever in the world arising)) applicable to the taxable income resulting from the grant of the Option, the exercise of the Option, or the issuance of Shares (the “</w:t>
      </w:r>
      <w:r>
        <w:rPr>
          <w:rFonts w:ascii="sans-serif" w:hAnsi="sans-serif"/>
          <w:b/>
          <w:i/>
          <w:color w:val="000000"/>
          <w:sz w:val="24"/>
        </w:rPr>
        <w:t>Tax-Related Items</w:t>
      </w:r>
      <w:r>
        <w:rPr>
          <w:color w:val="000000"/>
        </w:rPr>
        <w:t>”</w:t>
      </w:r>
      <w:r>
        <w:rPr>
          <w:rFonts w:ascii="sans-serif" w:hAnsi="sans-serif"/>
          <w:b w:val="false"/>
          <w:color w:val="000000"/>
          <w:sz w:val="24"/>
        </w:rPr>
        <w:t xml:space="preserve">) that is attributable to (1) the grant or settlement of, or any benefit derived by Participant from, the Option or the Shares which are the subject of the Option; (2) the transfer or issuance of Shares on the settlement of the Option; (3) any restrictions applicable to any Shares held by Participant ceasing to apply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2560"/>
                <wp:effectExtent l="0" t="0" r="0" b="0"/>
                <wp:wrapNone/>
                <wp:docPr id="58" name="Frame5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Appendix-12</w:t>
                      </w:r>
                    </w:p>
                  </w:txbxContent>
                </v:textbox>
                <w10:wrap type="none"/>
              </v:rect>
            </w:pict>
          </mc:Fallback>
        </mc:AlternateContent>
      </w:r>
    </w:p>
    <w:p>
      <w:pPr>
        <w:pStyle w:val="TextBody"/>
        <w:bidi w:val="0"/>
        <w:spacing w:lineRule="auto" w:line="288" w:before="0" w:after="240"/>
        <w:jc w:val="both"/>
        <w:rPr/>
      </w:pPr>
      <w:r>
        <w:rPr>
          <w:rFonts w:ascii="sans-serif" w:hAnsi="sans-serif"/>
          <w:b w:val="false"/>
          <w:color w:val="000000"/>
          <w:sz w:val="24"/>
        </w:rPr>
        <w:t>thereto; or (4) the disposal of any Shares (each a “</w:t>
      </w:r>
      <w:r>
        <w:rPr>
          <w:rFonts w:ascii="sans-serif" w:hAnsi="sans-serif"/>
          <w:b/>
          <w:i/>
          <w:color w:val="000000"/>
          <w:sz w:val="24"/>
        </w:rPr>
        <w:t>Taxable Event</w:t>
      </w:r>
      <w:r>
        <w:rPr>
          <w:color w:val="000000"/>
        </w:rPr>
        <w:t>”</w:t>
      </w:r>
      <w:r>
        <w:rPr>
          <w:rFonts w:ascii="sans-serif" w:hAnsi="sans-serif"/>
          <w:b w:val="false"/>
          <w:color w:val="000000"/>
          <w:sz w:val="24"/>
        </w:rPr>
        <w:t>) and hereby covenants to pay all such Tax-Related Items as and when requested by the Company or a Subsidiary or His Majesty’s Revenue and Customs (“</w:t>
      </w:r>
      <w:r>
        <w:rPr>
          <w:rFonts w:ascii="sans-serif" w:hAnsi="sans-serif"/>
          <w:b/>
          <w:i/>
          <w:color w:val="000000"/>
          <w:sz w:val="24"/>
        </w:rPr>
        <w:t>HMRC</w:t>
      </w:r>
      <w:r>
        <w:rPr>
          <w:color w:val="000000"/>
        </w:rPr>
        <w:t>”</w:t>
      </w:r>
      <w:r>
        <w:rPr>
          <w:rFonts w:ascii="sans-serif" w:hAnsi="sans-serif"/>
          <w:b w:val="false"/>
          <w:color w:val="000000"/>
          <w:sz w:val="24"/>
        </w:rPr>
        <w:t>) (or any other tax authority or relevant authority). Participant also agrees to indemnify and keep indemnified the Company, any subsidiary and his/her employing company (the “</w:t>
      </w:r>
      <w:r>
        <w:rPr>
          <w:rFonts w:ascii="sans-serif" w:hAnsi="sans-serif"/>
          <w:b/>
          <w:i/>
          <w:color w:val="000000"/>
          <w:sz w:val="24"/>
        </w:rPr>
        <w:t>Employer</w:t>
      </w:r>
      <w:r>
        <w:rPr>
          <w:color w:val="000000"/>
        </w:rPr>
        <w:t>”</w:t>
      </w:r>
      <w:r>
        <w:rPr>
          <w:rFonts w:ascii="sans-serif" w:hAnsi="sans-serif"/>
          <w:b w:val="false"/>
          <w:color w:val="000000"/>
          <w:sz w:val="24"/>
        </w:rPr>
        <w:t xml:space="preserve">) if different, against any Tax-Related Items that they are required to pay or withhold or have paid or will pay to HMRC (or any other tax authority or any other relevant authority) on Participant’s behalf that is attributable to a Taxable Event.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Options cannot be settled until Participant has made such arrangements as the Company may require for the satisfaction of any Tax-Related Items that may arise in connection with the vesting and settlement of the Options and/or the acquisition of Shares by Participant. The Company shall not be required to issue, allot or transfer Shares until Participant has satisfied this obligation. </w:t>
      </w:r>
    </w:p>
    <w:p>
      <w:pPr>
        <w:pStyle w:val="TextBody"/>
        <w:bidi w:val="0"/>
        <w:spacing w:lineRule="auto" w:line="288" w:before="0" w:after="240"/>
        <w:jc w:val="both"/>
        <w:rPr/>
      </w:pPr>
      <w:r>
        <w:rPr>
          <w:rFonts w:ascii="sans-serif" w:hAnsi="sans-serif"/>
          <w:b w:val="false"/>
          <w:color w:val="000000"/>
          <w:sz w:val="24"/>
        </w:rPr>
        <w:t>Participant undertakes that, upon request by the Company, he or she will (on or within 14 days of acquiring the Shares) join with his or her Employer in electing, pursuant to Section 431(1) of the Income Tax (Earnings and Pensions) Act 2003 (“</w:t>
      </w:r>
      <w:r>
        <w:rPr>
          <w:rFonts w:ascii="sans-serif" w:hAnsi="sans-serif"/>
          <w:b/>
          <w:i/>
          <w:color w:val="000000"/>
          <w:sz w:val="24"/>
        </w:rPr>
        <w:t>ITEPA</w:t>
      </w:r>
      <w:r>
        <w:rPr>
          <w:color w:val="000000"/>
        </w:rPr>
        <w:t>”</w:t>
      </w:r>
      <w:r>
        <w:rPr>
          <w:rFonts w:ascii="sans-serif" w:hAnsi="sans-serif"/>
          <w:b w:val="false"/>
          <w:color w:val="000000"/>
          <w:sz w:val="24"/>
        </w:rPr>
        <w:t xml:space="preserve">) that, for relevant tax purposes, the market value of the Shares acquired on exercise of the Option on any occasion will be calculated as if the Shares were not restricted and Sections 425 to 430 (inclusive) of ITEPA are not to apply to such Shares.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Participant agrees that if Participant does not pay or Participant’s Employer or the Company or a subsidiary does not withhold from Participant the full amount of all Tax-Related Items that Participant owes due to any Taxable Event within 90 days after the end of the tax year in which the Taxable Event occurred or such other period in Section 222(1)(c) of ITEPA, then the amount that should have been withheld shall constitute a loan owed by Participant to the Employer, effective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withholding the funds from salary, bonus or any other funds due to Participant by the Employer, by withholding in Shares issued upon vesting and exercise of the Option or from the cash proceeds from the sale of Shares or by demanding cash or a cheque from Participant. Participant also authorizes the Company to delay the issuance of any Shares to Participant unless and until the loan is repaid in full.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Notwithstanding the foregoing, if Participant is an officer or executive director (as within the meaning of Section 13(k) of the Exchange Act), the terms of the immediately foregoing provision will not apply in case the indemnification is viewed as a loan. In the event that Participant is an officer or executive director and Tax-Related Items are not collected from or paid by Participant within 90 days of the end of the tax year in which the Taxable Event occurred, the amount of any uncollected Tax-Related Items may constitute a benefit to Participant on which additional income tax and NICs may be payable. Participant understands that he or she will be responsible for reporting and paying any income tax due on this additional benefit directly to HMRC under the self-assessment regime and for reimbursing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2560"/>
                <wp:effectExtent l="0" t="0" r="0" b="0"/>
                <wp:wrapNone/>
                <wp:docPr id="59" name="Frame5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Appendix-13</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and/or a subsidiary (as appropriate) for the value of NICs due on this additional benefit which the Company and/or a Subsidiary may collect by any of the means referred to in Section 10.5 of the Plan.</w:t>
      </w:r>
    </w:p>
    <w:p>
      <w:pPr>
        <w:pStyle w:val="TextBody"/>
        <w:bidi w:val="0"/>
        <w:spacing w:lineRule="auto" w:line="288" w:before="0" w:after="240"/>
        <w:ind w:left="0" w:right="0" w:firstLine="720"/>
        <w:jc w:val="both"/>
        <w:rPr/>
      </w:pPr>
      <w:r>
        <w:rPr>
          <w:rFonts w:ascii="sans-serif" w:hAnsi="sans-serif"/>
          <w:b w:val="false"/>
          <w:color w:val="000000"/>
          <w:sz w:val="24"/>
        </w:rPr>
        <w:t>[</w:t>
      </w:r>
      <w:r>
        <w:rPr>
          <w:rFonts w:ascii="sans-serif" w:hAnsi="sans-serif"/>
          <w:b w:val="false"/>
          <w:i/>
          <w:color w:val="000000"/>
          <w:sz w:val="24"/>
        </w:rPr>
        <w:t>for contractors only</w:t>
      </w:r>
      <w:r>
        <w:rPr>
          <w:rFonts w:ascii="sans-serif" w:hAnsi="sans-serif"/>
          <w:b w:val="false"/>
          <w:color w:val="000000"/>
          <w:sz w:val="24"/>
        </w:rPr>
        <w:t>]</w:t>
      </w:r>
    </w:p>
    <w:p>
      <w:pPr>
        <w:pStyle w:val="TextBody"/>
        <w:bidi w:val="0"/>
        <w:spacing w:lineRule="auto" w:line="288" w:before="0" w:after="240"/>
        <w:jc w:val="both"/>
        <w:rPr/>
      </w:pPr>
      <w:r>
        <w:rPr>
          <w:rFonts w:ascii="sans-serif" w:hAnsi="sans-serif"/>
          <w:b w:val="false"/>
          <w:color w:val="000000"/>
          <w:sz w:val="24"/>
          <w:u w:val="single"/>
        </w:rPr>
        <w:t>Tax and National Insurance Contributions Acknowledgment</w:t>
      </w:r>
      <w:r>
        <w:rPr>
          <w:rFonts w:ascii="sans-serif" w:hAnsi="sans-serif"/>
          <w:b w:val="false"/>
          <w:color w:val="000000"/>
          <w:sz w:val="24"/>
        </w:rPr>
        <w:t>. Participant agrees that Participant is liable for the full amount of all U.S. and non-U.S. federal, state and/or local taxes (including, without limitation, income tax, withholding tax, social insurance contributions, fringe benefit tax, employment tax, stamp tax and any employer tax liability which has been transferred to Participant, and including employee’s National Insurance contributions (“</w:t>
      </w:r>
      <w:r>
        <w:rPr>
          <w:rFonts w:ascii="sans-serif" w:hAnsi="sans-serif"/>
          <w:b/>
          <w:i/>
          <w:color w:val="000000"/>
          <w:sz w:val="24"/>
        </w:rPr>
        <w:t>NICs</w:t>
      </w:r>
      <w:r>
        <w:rPr>
          <w:color w:val="000000"/>
        </w:rPr>
        <w:t>”</w:t>
      </w:r>
      <w:r>
        <w:rPr>
          <w:rFonts w:ascii="sans-serif" w:hAnsi="sans-serif"/>
          <w:b w:val="false"/>
          <w:color w:val="000000"/>
          <w:sz w:val="24"/>
        </w:rPr>
        <w:t>) and (at the discretion of the Company) employer’s NICs (or other similar obligations wherever in the world arising)) applicable to the taxable income resulting from the grant of the Option, the exercise of the Option, or the issuance of Shares (the “</w:t>
      </w:r>
      <w:r>
        <w:rPr>
          <w:rFonts w:ascii="sans-serif" w:hAnsi="sans-serif"/>
          <w:b/>
          <w:i/>
          <w:color w:val="000000"/>
          <w:sz w:val="24"/>
        </w:rPr>
        <w:t>Tax-Related Items</w:t>
      </w:r>
      <w:r>
        <w:rPr>
          <w:color w:val="000000"/>
        </w:rPr>
        <w:t>”</w:t>
      </w:r>
      <w:r>
        <w:rPr>
          <w:rFonts w:ascii="sans-serif" w:hAnsi="sans-serif"/>
          <w:b w:val="false"/>
          <w:color w:val="000000"/>
          <w:sz w:val="24"/>
        </w:rPr>
        <w:t>) that is attributable to (1) the grant or settlement of, or any benefit derived by Participant from, the Option or the Shares which are the subject of the Option; (2) the transfer or issuance of Shares on the exercise of the Option; (3) any restrictions applicable to any Shares held by Participant ceasing to apply thereto; or (4) the disposal of any Shares (each a “</w:t>
      </w:r>
      <w:r>
        <w:rPr>
          <w:rFonts w:ascii="sans-serif" w:hAnsi="sans-serif"/>
          <w:b/>
          <w:i/>
          <w:color w:val="000000"/>
          <w:sz w:val="24"/>
        </w:rPr>
        <w:t>Taxable Event</w:t>
      </w:r>
      <w:r>
        <w:rPr>
          <w:color w:val="000000"/>
        </w:rPr>
        <w:t>”</w:t>
      </w:r>
      <w:r>
        <w:rPr>
          <w:rFonts w:ascii="sans-serif" w:hAnsi="sans-serif"/>
          <w:b w:val="false"/>
          <w:color w:val="000000"/>
          <w:sz w:val="24"/>
        </w:rPr>
        <w:t>) and hereby covenants to pay all such Tax-Related Items as and when requested by the Company or a Subsidiary or His Majesty’s Revenue and Customs (“</w:t>
      </w:r>
      <w:r>
        <w:rPr>
          <w:rFonts w:ascii="sans-serif" w:hAnsi="sans-serif"/>
          <w:b/>
          <w:i/>
          <w:color w:val="000000"/>
          <w:sz w:val="24"/>
        </w:rPr>
        <w:t>HMRC</w:t>
      </w:r>
      <w:r>
        <w:rPr>
          <w:color w:val="000000"/>
        </w:rPr>
        <w:t>”</w:t>
      </w:r>
      <w:r>
        <w:rPr>
          <w:rFonts w:ascii="sans-serif" w:hAnsi="sans-serif"/>
          <w:b w:val="false"/>
          <w:color w:val="000000"/>
          <w:sz w:val="24"/>
        </w:rPr>
        <w:t xml:space="preserve">) (or any other tax authority or relevant authority). Participant also agrees to indemnify and keep indemnified the Company and/or the Employer of Record, against any Tax-Related Items that they are required to pay or withhold or have paid or will pay to HMRC (or any other tax authority or any other relevant authority) on Participant’s behalf that is attributable to a Taxable Event. </w: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The Options cannot be settled until Participant has made such arrangements as the Company and/or Employer of Record may require for the satisfaction of any Tax-Related Items that may arise in connection with the vesting and exercise of the Options and/or the acquisition of Shares by Participant. The Company shall not be required to issue, allot or transfer Shares until Participant has satisfied this obligation. </w:t>
      </w:r>
    </w:p>
    <w:p>
      <w:pPr>
        <w:pStyle w:val="TextBody"/>
        <w:bidi w:val="0"/>
        <w:spacing w:lineRule="auto" w:line="288" w:before="0" w:after="240"/>
        <w:jc w:val="both"/>
        <w:rPr/>
      </w:pPr>
      <w:r>
        <w:rPr>
          <w:rFonts w:ascii="sans-serif" w:hAnsi="sans-serif"/>
          <w:b w:val="false"/>
          <w:color w:val="000000"/>
          <w:sz w:val="24"/>
          <w:u w:val="single"/>
        </w:rPr>
        <w:t>Section 431 Election.</w:t>
      </w:r>
      <w:r>
        <w:rPr>
          <w:color w:val="000000"/>
        </w:rPr>
        <w:t xml:space="preserve"> </w:t>
      </w:r>
      <w:r>
        <w:rPr>
          <w:rFonts w:ascii="sans-serif" w:hAnsi="sans-serif"/>
          <w:b w:val="false"/>
          <w:color w:val="000000"/>
          <w:sz w:val="24"/>
        </w:rPr>
        <w:t>Participant agrees, upon request by the Company and/or the Employer of Record (as applicable), and no later than 14 days after the issuance of the Option, to join with the Company and/or the Employer of Record in electing, pursuant to Section 431(1) of the Income Tax (Earnings and Pensions) Act 2003 (“</w:t>
      </w:r>
      <w:r>
        <w:rPr>
          <w:rFonts w:ascii="sans-serif" w:hAnsi="sans-serif"/>
          <w:b/>
          <w:i/>
          <w:color w:val="000000"/>
          <w:sz w:val="24"/>
        </w:rPr>
        <w:t>ITEPA</w:t>
      </w:r>
      <w:r>
        <w:rPr>
          <w:color w:val="000000"/>
        </w:rPr>
        <w:t>”</w:t>
      </w:r>
      <w:r>
        <w:rPr>
          <w:rFonts w:ascii="sans-serif" w:hAnsi="sans-serif"/>
          <w:b w:val="false"/>
          <w:color w:val="000000"/>
          <w:sz w:val="24"/>
        </w:rPr>
        <w:t xml:space="preserve">) that, for relevant tax purposes, the market value of the Option acquired pursuant to this Agreement will be calculated as if the Option was not restricted and Sections 425 to 430 (inclusive) of ITEPA are not to apply to such Option. </w:t>
      </w:r>
    </w:p>
    <w:p>
      <w:pPr>
        <w:pStyle w:val="TextBody"/>
        <w:bidi w:val="0"/>
        <w:spacing w:lineRule="auto" w:line="288" w:before="0" w:after="1200"/>
        <w:jc w:val="both"/>
        <w:rPr/>
      </w:pPr>
      <w:r>
        <w:rPr>
          <w:rFonts w:ascii="sans-serif" w:hAnsi="sans-serif"/>
          <w:b w:val="false"/>
          <w:color w:val="000000"/>
          <w:sz w:val="24"/>
          <w:u w:val="single"/>
        </w:rPr>
        <w:t>Loan</w:t>
      </w:r>
      <w:r>
        <w:rPr>
          <w:rFonts w:ascii="sans-serif" w:hAnsi="sans-serif"/>
          <w:b w:val="false"/>
          <w:color w:val="000000"/>
          <w:sz w:val="24"/>
        </w:rPr>
        <w:t xml:space="preserve">. Participant agrees that if Participant does not pay or the Employer of Record or the Company (as applicable) does not withhold from Participant the full amount of any Tax-Related Items within 90 days after the end of the tax year in which the Taxable Event occurred, or such other period specified in Section 222(1)(c) of ITEPA, then the amount that should have been withheld shall constitute a loan owed by Participant to the Employer of Record or the Company (as applicable), effective 90 days after the end of the tax year in which the Taxable Event occurred. Participant agrees that the loan will bear interest at HMRC’s official rate and will be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2560"/>
                <wp:effectExtent l="0" t="0" r="0" b="0"/>
                <wp:wrapNone/>
                <wp:docPr id="60" name="Frame5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Appendix-14</w:t>
                      </w:r>
                    </w:p>
                  </w:txbxContent>
                </v:textbox>
                <w10:wrap type="none"/>
              </v:rect>
            </w:pict>
          </mc:Fallback>
        </mc:AlternateContent>
      </w:r>
    </w:p>
    <w:p>
      <w:pPr>
        <w:pStyle w:val="TextBody"/>
        <w:bidi w:val="0"/>
        <w:spacing w:lineRule="auto" w:line="288" w:before="0" w:after="1200"/>
        <w:jc w:val="both"/>
        <w:rPr>
          <w:rFonts w:ascii="sans-serif" w:hAnsi="sans-serif"/>
          <w:b w:val="false"/>
          <w:color w:val="000000"/>
          <w:sz w:val="24"/>
        </w:rPr>
      </w:pPr>
      <w:r>
        <w:rPr>
          <w:rFonts w:ascii="sans-serif" w:hAnsi="sans-serif"/>
          <w:b w:val="false"/>
          <w:color w:val="000000"/>
          <w:sz w:val="24"/>
        </w:rPr>
        <w:t xml:space="preserve">immediately due and repayable by Participant, and the Company and/or the Employer of Record (as applicable) may recover it at any time thereafter by: (i) withholding the funds from salary, bonus or any other funds due to Participant by the Company and/or the Employer of Record (as applicable); (ii) withholding from the Option or from the cash distributions payable in respect of the Option; or (iii) demanding cash or a cheque from Participant. Participant also authorizes the Company and/or the Employer of Record (as applicable) to delay the issuance of any payment or distribution made in connection with this Agreement unless and until the loan has been repaid in full. Notwithstanding the foregoing, if Participant is an officer or executive director (as within the meaning of Section 13(k) of the Securities and Exchange Act of 1934, as amended), the terms of the immediately foregoing provisions will not apply. In the event that Participant is an officer or executive director and the tax liability is not collected from or paid by Participant within 90 days of the end of the tax year in with the Taxable Event occurred, the amount of any uncollected tax liability may constitute a benefit to Participant on which additional income tax and National Insurance contributions may be payable. Participant acknowledges that the Company and/or the Employer of Record (as applicable) may recover any such additional income tax and National Insurance contributions at any time thereafter by any of the means referred to in this Agreement.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2560"/>
                <wp:effectExtent l="0" t="0" r="0" b="0"/>
                <wp:wrapNone/>
                <wp:docPr id="61" name="Frame5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Appendix-15</w:t>
                      </w:r>
                    </w:p>
                  </w:txbxContent>
                </v:textbox>
                <w10:wrap type="none"/>
              </v:rect>
            </w:pict>
          </mc:Fallback>
        </mc:AlternateContent>
      </w:r>
    </w:p>
    <w:p>
      <w:pPr>
        <w:pStyle w:val="TextBody"/>
        <w:bidi w:val="0"/>
        <w:spacing w:lineRule="auto" w:line="288" w:before="0" w:after="240"/>
        <w:jc w:val="center"/>
        <w:rPr>
          <w:rFonts w:ascii="sans-serif" w:hAnsi="sans-serif"/>
          <w:b/>
          <w:color w:val="000000"/>
          <w:sz w:val="24"/>
          <w:u w:val="single"/>
        </w:rPr>
      </w:pPr>
      <w:r>
        <w:rPr>
          <w:rFonts w:ascii="sans-serif" w:hAnsi="sans-serif"/>
          <w:b/>
          <w:color w:val="000000"/>
          <w:sz w:val="24"/>
          <w:u w:val="single"/>
        </w:rPr>
        <w:t>Exhibit 1 (for German Participants)</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xml:space="preserve">PRIVACY NOTICE </w:t>
      </w:r>
    </w:p>
    <w:p>
      <w:pPr>
        <w:pStyle w:val="TextBody"/>
        <w:bidi w:val="0"/>
        <w:spacing w:lineRule="auto" w:line="288" w:before="0" w:after="240"/>
        <w:ind w:left="0" w:right="0" w:firstLine="720"/>
        <w:jc w:val="both"/>
        <w:rPr/>
      </w:pPr>
      <w:r>
        <w:rPr>
          <w:rFonts w:ascii="sans-serif" w:hAnsi="sans-serif"/>
          <w:b w:val="false"/>
          <w:color w:val="000000"/>
          <w:sz w:val="24"/>
        </w:rPr>
        <w:t>The entity responsible for processing your personal data (</w:t>
      </w:r>
      <w:r>
        <w:rPr>
          <w:rFonts w:ascii="sans-serif" w:hAnsi="sans-serif"/>
          <w:b w:val="false"/>
          <w:i/>
          <w:color w:val="000000"/>
          <w:sz w:val="24"/>
        </w:rPr>
        <w:t>i.e.</w:t>
      </w:r>
      <w:r>
        <w:rPr>
          <w:rFonts w:ascii="sans-serif" w:hAnsi="sans-serif"/>
          <w:b w:val="false"/>
          <w:color w:val="000000"/>
          <w:sz w:val="24"/>
        </w:rPr>
        <w:t>, the “</w:t>
      </w:r>
      <w:r>
        <w:rPr>
          <w:rFonts w:ascii="sans-serif" w:hAnsi="sans-serif"/>
          <w:b/>
          <w:color w:val="000000"/>
          <w:sz w:val="24"/>
        </w:rPr>
        <w:t>Controller</w:t>
      </w:r>
      <w:r>
        <w:rPr>
          <w:color w:val="000000"/>
        </w:rPr>
        <w:t>”</w:t>
      </w:r>
      <w:r>
        <w:rPr>
          <w:rFonts w:ascii="sans-serif" w:hAnsi="sans-serif"/>
          <w:b w:val="false"/>
          <w:color w:val="000000"/>
          <w:sz w:val="24"/>
        </w:rPr>
        <w:t>) for the purpose of allocating and sharing Awards as described in the This Agreement, dated [        ] 2026 (the “</w:t>
      </w:r>
      <w:r>
        <w:rPr>
          <w:rFonts w:ascii="sans-serif" w:hAnsi="sans-serif"/>
          <w:b/>
          <w:color w:val="000000"/>
          <w:sz w:val="24"/>
        </w:rPr>
        <w:t>Grant Letter</w:t>
      </w:r>
      <w:r>
        <w:rPr>
          <w:color w:val="000000"/>
        </w:rPr>
        <w:t>”</w:t>
      </w:r>
      <w:r>
        <w:rPr>
          <w:rFonts w:ascii="sans-serif" w:hAnsi="sans-serif"/>
          <w:b w:val="false"/>
          <w:color w:val="000000"/>
          <w:sz w:val="24"/>
        </w:rPr>
        <w:t>) and the Plan is Neutron Holdings, Inc., having its registered office at 85 2</w:t>
      </w:r>
      <w:r>
        <w:rPr>
          <w:rFonts w:ascii="sans-serif" w:hAnsi="sans-serif"/>
          <w:b w:val="false"/>
          <w:color w:val="000000"/>
          <w:sz w:val="16"/>
        </w:rPr>
        <w:t>nd</w:t>
      </w:r>
      <w:r>
        <w:rPr>
          <w:color w:val="000000"/>
        </w:rPr>
        <w:t xml:space="preserve"> </w:t>
      </w:r>
      <w:r>
        <w:rPr>
          <w:rFonts w:ascii="sans-serif" w:hAnsi="sans-serif"/>
          <w:b w:val="false"/>
          <w:color w:val="000000"/>
          <w:sz w:val="24"/>
        </w:rPr>
        <w:t>Street, Suite 750, San Francisco, CA 94105, United States of America (the “</w:t>
      </w:r>
      <w:r>
        <w:rPr>
          <w:rFonts w:ascii="sans-serif" w:hAnsi="sans-serif"/>
          <w:b/>
          <w:color w:val="000000"/>
          <w:sz w:val="24"/>
        </w:rPr>
        <w:t>Company</w:t>
      </w:r>
      <w:r>
        <w:rPr>
          <w:color w:val="000000"/>
        </w:rPr>
        <w:t>”</w:t>
      </w:r>
      <w:r>
        <w:rPr>
          <w:rFonts w:ascii="sans-serif" w:hAnsi="sans-serif"/>
          <w:b w:val="false"/>
          <w:color w:val="000000"/>
          <w:sz w:val="24"/>
        </w:rPr>
        <w:t>). The present privacy notice (the “</w:t>
      </w:r>
      <w:r>
        <w:rPr>
          <w:rFonts w:ascii="sans-serif" w:hAnsi="sans-serif"/>
          <w:b/>
          <w:color w:val="000000"/>
          <w:sz w:val="24"/>
        </w:rPr>
        <w:t>Notice</w:t>
      </w:r>
      <w:r>
        <w:rPr>
          <w:color w:val="000000"/>
        </w:rPr>
        <w:t>”</w:t>
      </w:r>
      <w:r>
        <w:rPr>
          <w:rFonts w:ascii="sans-serif" w:hAnsi="sans-serif"/>
          <w:b w:val="false"/>
          <w:color w:val="000000"/>
          <w:sz w:val="24"/>
        </w:rPr>
        <w:t xml:space="preserve">) provides for information in relation to the processing of your personal data in this context. </w:t>
      </w:r>
    </w:p>
    <w:p>
      <w:pPr>
        <w:pStyle w:val="TextBody"/>
        <w:bidi w:val="0"/>
        <w:spacing w:lineRule="auto" w:line="288" w:before="0" w:after="0"/>
        <w:ind w:left="0" w:right="0" w:hanging="567"/>
        <w:jc w:val="both"/>
        <w:rPr>
          <w:rFonts w:ascii="sans-serif" w:hAnsi="sans-serif"/>
          <w:b/>
          <w:color w:val="000000"/>
          <w:sz w:val="24"/>
        </w:rPr>
      </w:pPr>
      <w:r>
        <w:rPr>
          <w:rFonts w:ascii="sans-serif" w:hAnsi="sans-serif"/>
          <w:b/>
          <w:color w:val="000000"/>
          <w:sz w:val="24"/>
        </w:rPr>
        <w:t>1.WHAT PERSONAL DATA DOES THE COMPANY PROCESS ABOUT YOU?</w:t>
      </w:r>
    </w:p>
    <w:p>
      <w:pPr>
        <w:pStyle w:val="TextBody"/>
        <w:bidi w:val="0"/>
        <w:spacing w:lineRule="auto" w:line="288" w:before="0" w:after="0"/>
        <w:ind w:left="0" w:right="0" w:hanging="567"/>
        <w:jc w:val="both"/>
        <w:rPr>
          <w:rFonts w:ascii="sans-serif" w:hAnsi="sans-serif"/>
          <w:b w:val="false"/>
          <w:color w:val="000000"/>
          <w:sz w:val="24"/>
        </w:rPr>
      </w:pPr>
      <w:r>
        <w:rPr>
          <w:rFonts w:ascii="sans-serif" w:hAnsi="sans-serif"/>
          <w:b w:val="false"/>
          <w:color w:val="000000"/>
          <w:sz w:val="24"/>
        </w:rPr>
        <w:t>a.Some of the personal data is collected directly from you. Other personal data is provided to the Company by other group companies.</w:t>
      </w:r>
    </w:p>
    <w:p>
      <w:pPr>
        <w:pStyle w:val="TextBody"/>
        <w:bidi w:val="0"/>
        <w:spacing w:lineRule="auto" w:line="288" w:before="0" w:after="0"/>
        <w:ind w:left="0" w:right="0" w:hanging="567"/>
        <w:jc w:val="both"/>
        <w:rPr/>
      </w:pPr>
      <w:r>
        <w:rPr>
          <w:rFonts w:ascii="sans-serif" w:hAnsi="sans-serif"/>
          <w:b w:val="false"/>
          <w:color w:val="000000"/>
          <w:sz w:val="24"/>
        </w:rPr>
        <w:t xml:space="preserve">b.The personal data the Company collects about you may include (i) identification data such as your name, address and telephone number, birthdate, social security/insurance number or other identification number, salary, nationality, (ii) job title, department, as well as related information, </w:t>
      </w:r>
      <w:r>
        <w:rPr>
          <w:rFonts w:ascii="sans-serif" w:hAnsi="sans-serif"/>
          <w:b w:val="false"/>
          <w:i/>
          <w:color w:val="000000"/>
          <w:sz w:val="24"/>
        </w:rPr>
        <w:t>e.g.</w:t>
      </w:r>
      <w:r>
        <w:rPr>
          <w:rFonts w:ascii="sans-serif" w:hAnsi="sans-serif"/>
          <w:b w:val="false"/>
          <w:color w:val="000000"/>
          <w:sz w:val="24"/>
        </w:rPr>
        <w:t>, employee ID number, (iii) your bank account details, and (iv) details regarding your Awards and other information relating to the Plan and this Agreement.</w:t>
      </w:r>
    </w:p>
    <w:p>
      <w:pPr>
        <w:pStyle w:val="TextBody"/>
        <w:bidi w:val="0"/>
        <w:spacing w:lineRule="auto" w:line="288" w:before="0" w:after="220"/>
        <w:ind w:left="0" w:right="0" w:hanging="567"/>
        <w:jc w:val="both"/>
        <w:rPr>
          <w:rFonts w:ascii="sans-serif" w:hAnsi="sans-serif"/>
          <w:b w:val="false"/>
          <w:color w:val="000000"/>
          <w:sz w:val="24"/>
        </w:rPr>
      </w:pPr>
      <w:r>
        <w:rPr>
          <w:rFonts w:ascii="sans-serif" w:hAnsi="sans-serif"/>
          <w:b w:val="false"/>
          <w:color w:val="000000"/>
          <w:sz w:val="24"/>
        </w:rPr>
        <w:t xml:space="preserve">c.The Company requires your personal data for business and accounting purposes. Refusal to provide personal data requested could lead to the impossibility for the Company to proceed with any matters relating to the Plan and the This Agreement, including the allocation, award and any payments relating to your awards. </w:t>
      </w:r>
    </w:p>
    <w:p>
      <w:pPr>
        <w:pStyle w:val="TextBody"/>
        <w:bidi w:val="0"/>
        <w:spacing w:lineRule="auto" w:line="288" w:before="0" w:after="0"/>
        <w:ind w:left="0" w:right="0" w:hanging="567"/>
        <w:jc w:val="both"/>
        <w:rPr>
          <w:rFonts w:ascii="sans-serif" w:hAnsi="sans-serif"/>
          <w:b/>
          <w:color w:val="000000"/>
          <w:sz w:val="24"/>
        </w:rPr>
      </w:pPr>
      <w:r>
        <w:rPr>
          <w:rFonts w:ascii="sans-serif" w:hAnsi="sans-serif"/>
          <w:b/>
          <w:color w:val="000000"/>
          <w:sz w:val="24"/>
        </w:rPr>
        <w:t>2.HOW DOES THE COMPANY PROCESS YOUR PERSONAL DATA?</w:t>
      </w:r>
    </w:p>
    <w:p>
      <w:pPr>
        <w:pStyle w:val="TextBody"/>
        <w:bidi w:val="0"/>
        <w:spacing w:lineRule="auto" w:line="288" w:before="0" w:after="0"/>
        <w:ind w:left="0" w:right="0" w:hanging="567"/>
        <w:jc w:val="both"/>
        <w:rPr>
          <w:rFonts w:ascii="sans-serif" w:hAnsi="sans-serif"/>
          <w:b w:val="false"/>
          <w:color w:val="000000"/>
          <w:sz w:val="24"/>
        </w:rPr>
      </w:pPr>
      <w:r>
        <w:rPr>
          <w:rFonts w:ascii="sans-serif" w:hAnsi="sans-serif"/>
          <w:b w:val="false"/>
          <w:color w:val="000000"/>
          <w:sz w:val="24"/>
        </w:rPr>
        <w:t>a.The Company processes your personal data only for legitimate purposes, including (i) to implement, administer and manage the Plan and the This Agreement and in order to proceed with the allocation, award and any payments relating to your awards, and (ii) to comply with accounting requirements.</w:t>
      </w:r>
    </w:p>
    <w:p>
      <w:pPr>
        <w:pStyle w:val="TextBody"/>
        <w:bidi w:val="0"/>
        <w:spacing w:lineRule="auto" w:line="288" w:before="0" w:after="0"/>
        <w:ind w:left="0" w:right="0" w:hanging="567"/>
        <w:jc w:val="both"/>
        <w:rPr>
          <w:rFonts w:ascii="sans-serif" w:hAnsi="sans-serif"/>
          <w:b w:val="false"/>
          <w:color w:val="000000"/>
          <w:sz w:val="24"/>
        </w:rPr>
      </w:pPr>
      <w:r>
        <w:rPr>
          <w:rFonts w:ascii="sans-serif" w:hAnsi="sans-serif"/>
          <w:b w:val="false"/>
          <w:color w:val="000000"/>
          <w:sz w:val="24"/>
        </w:rPr>
        <w:t xml:space="preserve">b.The Company does not keep your personal data for longer than is necessary to fulfil the purposes above – unless statutory retention obligations and/or legitimate interests may require a longer storage. This may include the defense and assertion of legal claims. </w:t>
      </w:r>
    </w:p>
    <w:p>
      <w:pPr>
        <w:pStyle w:val="TextBody"/>
        <w:bidi w:val="0"/>
        <w:spacing w:lineRule="auto" w:line="288" w:before="0" w:after="220"/>
        <w:ind w:left="0" w:right="0" w:hanging="567"/>
        <w:jc w:val="both"/>
        <w:rPr>
          <w:rFonts w:ascii="sans-serif" w:hAnsi="sans-serif"/>
          <w:b w:val="false"/>
          <w:color w:val="000000"/>
          <w:sz w:val="24"/>
        </w:rPr>
      </w:pPr>
      <w:r>
        <w:rPr>
          <w:rFonts w:ascii="sans-serif" w:hAnsi="sans-serif"/>
          <w:b w:val="false"/>
          <w:color w:val="000000"/>
          <w:sz w:val="24"/>
        </w:rPr>
        <w:t>c.No automated decision making or profiling is conducted in the context of the Plan and the This Agreement.</w:t>
      </w:r>
    </w:p>
    <w:p>
      <w:pPr>
        <w:pStyle w:val="TextBody"/>
        <w:bidi w:val="0"/>
        <w:spacing w:lineRule="auto" w:line="288" w:before="0" w:after="0"/>
        <w:ind w:left="0" w:right="0" w:hanging="567"/>
        <w:jc w:val="both"/>
        <w:rPr>
          <w:rFonts w:ascii="sans-serif" w:hAnsi="sans-serif"/>
          <w:b/>
          <w:color w:val="000000"/>
          <w:sz w:val="24"/>
        </w:rPr>
      </w:pPr>
      <w:r>
        <w:rPr>
          <w:rFonts w:ascii="sans-serif" w:hAnsi="sans-serif"/>
          <w:b/>
          <w:color w:val="000000"/>
          <w:sz w:val="24"/>
        </w:rPr>
        <w:t>3.DOES THE COMPANY DISCLOSE YOUR PERSONAL DATA TO OTHER PARTIES?</w:t>
      </w:r>
    </w:p>
    <w:p>
      <w:pPr>
        <w:pStyle w:val="TextBody"/>
        <w:bidi w:val="0"/>
        <w:spacing w:lineRule="auto" w:line="288" w:before="0" w:after="0"/>
        <w:ind w:left="0" w:right="0" w:hanging="567"/>
        <w:jc w:val="both"/>
        <w:rPr>
          <w:rFonts w:ascii="sans-serif" w:hAnsi="sans-serif"/>
          <w:b w:val="false"/>
          <w:color w:val="000000"/>
          <w:sz w:val="24"/>
        </w:rPr>
      </w:pPr>
      <w:r>
        <w:rPr>
          <w:rFonts w:ascii="sans-serif" w:hAnsi="sans-serif"/>
          <w:b w:val="false"/>
          <w:color w:val="000000"/>
          <w:sz w:val="24"/>
        </w:rPr>
        <w:t>a.The Company may disclose your personal data, where reasonably necessary and in accordance with applicable law for the purposes set out in clause 2 above, including to (i) other entities within the group, (ii) accountants, auditors, legal advisors, (iii) services providers such as payroll administrators and benefits advisors, and (iv) third parties to whom the Company is required to disclose information by law or regulatory requirement (including authorities and litigation counterparties).</w:t>
      </w:r>
    </w:p>
    <w:p>
      <w:pPr>
        <w:pStyle w:val="TextBody"/>
        <w:bidi w:val="0"/>
        <w:spacing w:lineRule="auto" w:line="288" w:before="0" w:after="220"/>
        <w:ind w:left="0" w:right="0" w:hanging="567"/>
        <w:jc w:val="both"/>
        <w:rPr>
          <w:rFonts w:ascii="sans-serif" w:hAnsi="sans-serif"/>
          <w:b w:val="false"/>
          <w:color w:val="000000"/>
          <w:sz w:val="24"/>
        </w:rPr>
      </w:pPr>
      <w:r>
        <w:rPr>
          <w:rFonts w:ascii="sans-serif" w:hAnsi="sans-serif"/>
          <w:b w:val="false"/>
          <w:color w:val="000000"/>
          <w:sz w:val="24"/>
        </w:rPr>
        <w:t>b.If your personal data should be transferred to countries outside the European Union / the European Economic Area, the Company will apply appropriate safeguards to secure such transfers.</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2560"/>
                <wp:effectExtent l="0" t="0" r="0" b="0"/>
                <wp:wrapNone/>
                <wp:docPr id="62" name="Frame6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Appendix-16</w:t>
                      </w:r>
                    </w:p>
                  </w:txbxContent>
                </v:textbox>
                <w10:wrap type="none"/>
              </v:rect>
            </w:pict>
          </mc:Fallback>
        </mc:AlternateContent>
      </w:r>
    </w:p>
    <w:p>
      <w:pPr>
        <w:pStyle w:val="TextBody"/>
        <w:bidi w:val="0"/>
        <w:spacing w:lineRule="auto" w:line="288" w:before="0" w:after="0"/>
        <w:ind w:left="0" w:right="0" w:hanging="567"/>
        <w:jc w:val="both"/>
        <w:rPr>
          <w:rFonts w:ascii="sans-serif" w:hAnsi="sans-serif"/>
          <w:b/>
          <w:color w:val="000000"/>
          <w:sz w:val="24"/>
        </w:rPr>
      </w:pPr>
      <w:r>
        <w:rPr>
          <w:rFonts w:ascii="sans-serif" w:hAnsi="sans-serif"/>
          <w:b/>
          <w:color w:val="000000"/>
          <w:sz w:val="24"/>
        </w:rPr>
        <w:t>4.WHAT RIGHTS DO YOU HAVE?</w:t>
      </w:r>
    </w:p>
    <w:p>
      <w:pPr>
        <w:pStyle w:val="TextBody"/>
        <w:bidi w:val="0"/>
        <w:spacing w:lineRule="auto" w:line="288" w:before="0" w:after="60"/>
        <w:ind w:left="0" w:right="0" w:hanging="567"/>
        <w:jc w:val="both"/>
        <w:rPr>
          <w:rFonts w:ascii="sans-serif" w:hAnsi="sans-serif"/>
          <w:b w:val="false"/>
          <w:color w:val="000000"/>
          <w:sz w:val="24"/>
        </w:rPr>
      </w:pPr>
      <w:r>
        <w:rPr>
          <w:rFonts w:ascii="sans-serif" w:hAnsi="sans-serif"/>
          <w:b w:val="false"/>
          <w:color w:val="000000"/>
          <w:sz w:val="24"/>
        </w:rPr>
        <w:t xml:space="preserve">a.You have certain rights in relation to your personal data. Please note that these may vary depending on the right and circumstances of its assertion. </w:t>
      </w:r>
    </w:p>
    <w:p>
      <w:pPr>
        <w:pStyle w:val="TextBody"/>
        <w:bidi w:val="0"/>
        <w:spacing w:lineRule="auto" w:line="288" w:before="0" w:after="0"/>
        <w:ind w:left="0" w:right="0" w:hanging="450"/>
        <w:jc w:val="both"/>
        <w:rPr/>
      </w:pPr>
      <w:r>
        <w:rPr>
          <w:color w:val="000000"/>
        </w:rPr>
        <w:t>•</w:t>
      </w:r>
      <w:r>
        <w:rPr>
          <w:rFonts w:ascii="sans-serif" w:hAnsi="sans-serif"/>
          <w:b w:val="false"/>
          <w:color w:val="000000"/>
          <w:sz w:val="24"/>
        </w:rPr>
        <w:t>the right to access your personal data and ask for a copy of your processed personal data;</w:t>
      </w:r>
    </w:p>
    <w:p>
      <w:pPr>
        <w:pStyle w:val="TextBody"/>
        <w:bidi w:val="0"/>
        <w:spacing w:lineRule="auto" w:line="288" w:before="0" w:after="0"/>
        <w:ind w:left="0" w:right="0" w:hanging="450"/>
        <w:jc w:val="both"/>
        <w:rPr/>
      </w:pPr>
      <w:r>
        <w:rPr>
          <w:color w:val="000000"/>
        </w:rPr>
        <w:t>•</w:t>
      </w:r>
      <w:r>
        <w:rPr>
          <w:rFonts w:ascii="sans-serif" w:hAnsi="sans-serif"/>
          <w:b w:val="false"/>
          <w:color w:val="000000"/>
          <w:sz w:val="24"/>
        </w:rPr>
        <w:t>the right to have incomplete or inaccurate personal data corrected;</w:t>
      </w:r>
    </w:p>
    <w:p>
      <w:pPr>
        <w:pStyle w:val="TextBody"/>
        <w:bidi w:val="0"/>
        <w:spacing w:lineRule="auto" w:line="288" w:before="0" w:after="0"/>
        <w:ind w:left="0" w:right="0" w:hanging="450"/>
        <w:jc w:val="both"/>
        <w:rPr/>
      </w:pPr>
      <w:r>
        <w:rPr>
          <w:color w:val="000000"/>
        </w:rPr>
        <w:t>•</w:t>
      </w:r>
      <w:r>
        <w:rPr>
          <w:rFonts w:ascii="sans-serif" w:hAnsi="sans-serif"/>
          <w:b w:val="false"/>
          <w:color w:val="000000"/>
          <w:sz w:val="24"/>
        </w:rPr>
        <w:t>the right to object to the use of your personal data, or to withdraw your consent (where processing is based on your prior consent);</w:t>
      </w:r>
    </w:p>
    <w:p>
      <w:pPr>
        <w:pStyle w:val="TextBody"/>
        <w:bidi w:val="0"/>
        <w:spacing w:lineRule="auto" w:line="288" w:before="0" w:after="0"/>
        <w:ind w:left="0" w:right="0" w:hanging="450"/>
        <w:jc w:val="both"/>
        <w:rPr/>
      </w:pPr>
      <w:r>
        <w:rPr>
          <w:color w:val="000000"/>
        </w:rPr>
        <w:t>•</w:t>
      </w:r>
      <w:r>
        <w:rPr>
          <w:rFonts w:ascii="sans-serif" w:hAnsi="sans-serif"/>
          <w:b w:val="false"/>
          <w:color w:val="000000"/>
          <w:sz w:val="24"/>
        </w:rPr>
        <w:t>the right to restrict the use of your personal data;</w:t>
      </w:r>
    </w:p>
    <w:p>
      <w:pPr>
        <w:pStyle w:val="TextBody"/>
        <w:bidi w:val="0"/>
        <w:spacing w:lineRule="auto" w:line="288" w:before="0" w:after="0"/>
        <w:ind w:left="0" w:right="0" w:hanging="450"/>
        <w:jc w:val="both"/>
        <w:rPr/>
      </w:pPr>
      <w:r>
        <w:rPr>
          <w:color w:val="000000"/>
        </w:rPr>
        <w:t>•</w:t>
      </w:r>
      <w:r>
        <w:rPr>
          <w:rFonts w:ascii="sans-serif" w:hAnsi="sans-serif"/>
          <w:b w:val="false"/>
          <w:color w:val="000000"/>
          <w:sz w:val="24"/>
        </w:rPr>
        <w:t xml:space="preserve">the right to require the Company to erase/delete your personal data; </w:t>
      </w:r>
    </w:p>
    <w:p>
      <w:pPr>
        <w:pStyle w:val="TextBody"/>
        <w:bidi w:val="0"/>
        <w:spacing w:lineRule="auto" w:line="288" w:before="0" w:after="0"/>
        <w:ind w:left="0" w:right="0" w:hanging="450"/>
        <w:jc w:val="both"/>
        <w:rPr/>
      </w:pPr>
      <w:r>
        <w:rPr>
          <w:color w:val="000000"/>
        </w:rPr>
        <w:t>•</w:t>
      </w:r>
      <w:r>
        <w:rPr>
          <w:rFonts w:ascii="sans-serif" w:hAnsi="sans-serif"/>
          <w:b w:val="false"/>
          <w:color w:val="000000"/>
          <w:sz w:val="24"/>
        </w:rPr>
        <w:t>the right to receive personal data which you have provided to the Company in a structured, commonly used and machine-readable format and the right to transmit those data to another data controller;</w:t>
      </w:r>
    </w:p>
    <w:p>
      <w:pPr>
        <w:pStyle w:val="TextBody"/>
        <w:bidi w:val="0"/>
        <w:spacing w:lineRule="auto" w:line="288" w:before="0" w:after="60"/>
        <w:ind w:left="0" w:right="0" w:hanging="450"/>
        <w:jc w:val="both"/>
        <w:rPr/>
      </w:pPr>
      <w:r>
        <w:rPr>
          <w:color w:val="000000"/>
        </w:rPr>
        <w:t>•</w:t>
      </w:r>
      <w:r>
        <w:rPr>
          <w:rFonts w:ascii="sans-serif" w:hAnsi="sans-serif"/>
          <w:b w:val="false"/>
          <w:color w:val="000000"/>
          <w:sz w:val="24"/>
        </w:rPr>
        <w:t>the right to lodge a complaint with the competent data protection authority.</w:t>
      </w:r>
    </w:p>
    <w:p>
      <w:pPr>
        <w:pStyle w:val="TextBody"/>
        <w:bidi w:val="0"/>
        <w:spacing w:lineRule="auto" w:line="288" w:before="0" w:after="240"/>
        <w:ind w:left="0" w:right="0" w:hanging="567"/>
        <w:jc w:val="both"/>
        <w:rPr>
          <w:rFonts w:ascii="sans-serif" w:hAnsi="sans-serif"/>
          <w:b w:val="false"/>
          <w:color w:val="000000"/>
          <w:sz w:val="24"/>
        </w:rPr>
      </w:pPr>
      <w:r>
        <w:rPr>
          <w:rFonts w:ascii="sans-serif" w:hAnsi="sans-serif"/>
          <w:b w:val="false"/>
          <w:color w:val="000000"/>
          <w:sz w:val="24"/>
        </w:rPr>
        <w:t xml:space="preserve">b.If you wish to exercise any of these rights or have other questions about how the Company processes your personal data, you can access https://privacy.li.me/.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2560"/>
                <wp:effectExtent l="0" t="0" r="0" b="0"/>
                <wp:wrapNone/>
                <wp:docPr id="63" name="Frame6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Appendix-17</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NEUTRON HOLDINGS, INC.</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2026 INCENTIVE AWARD PLAN</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RESTRICTED STOCK UNIT AWARD GRANT NOTICE</w:t>
      </w:r>
    </w:p>
    <w:p>
      <w:pPr>
        <w:pStyle w:val="TextBody"/>
        <w:bidi w:val="0"/>
        <w:spacing w:lineRule="auto" w:line="288" w:before="0" w:after="240"/>
        <w:ind w:left="0" w:right="0" w:firstLine="720"/>
        <w:jc w:val="both"/>
        <w:rPr/>
      </w:pPr>
      <w:r>
        <w:rPr>
          <w:rFonts w:ascii="sans-serif" w:hAnsi="sans-serif"/>
          <w:b w:val="false"/>
          <w:color w:val="000000"/>
          <w:sz w:val="24"/>
        </w:rPr>
        <w:t>Neutron Holdings, Inc., a Delaware corporation (the “</w:t>
      </w:r>
      <w:r>
        <w:rPr>
          <w:rFonts w:ascii="sans-serif" w:hAnsi="sans-serif"/>
          <w:b/>
          <w:i/>
          <w:color w:val="000000"/>
          <w:sz w:val="24"/>
        </w:rPr>
        <w:t>Company</w:t>
      </w:r>
      <w:r>
        <w:rPr>
          <w:color w:val="000000"/>
        </w:rPr>
        <w:t>”</w:t>
      </w:r>
      <w:r>
        <w:rPr>
          <w:rFonts w:ascii="sans-serif" w:hAnsi="sans-serif"/>
          <w:b w:val="false"/>
          <w:color w:val="000000"/>
          <w:sz w:val="24"/>
        </w:rPr>
        <w:t>), pursuant to its 2026 Incentive Award Plan, as may be amended from time to time (the “</w:t>
      </w:r>
      <w:r>
        <w:rPr>
          <w:rFonts w:ascii="sans-serif" w:hAnsi="sans-serif"/>
          <w:b/>
          <w:i/>
          <w:color w:val="000000"/>
          <w:sz w:val="24"/>
        </w:rPr>
        <w:t>Plan</w:t>
      </w:r>
      <w:r>
        <w:rPr>
          <w:color w:val="000000"/>
        </w:rPr>
        <w:t>”</w:t>
      </w:r>
      <w:r>
        <w:rPr>
          <w:rFonts w:ascii="sans-serif" w:hAnsi="sans-serif"/>
          <w:b w:val="false"/>
          <w:color w:val="000000"/>
          <w:sz w:val="24"/>
        </w:rPr>
        <w:t>), hereby grants to the holder listed below (“</w:t>
      </w:r>
      <w:r>
        <w:rPr>
          <w:rFonts w:ascii="sans-serif" w:hAnsi="sans-serif"/>
          <w:b/>
          <w:i/>
          <w:color w:val="000000"/>
          <w:sz w:val="24"/>
        </w:rPr>
        <w:t>Participant</w:t>
      </w:r>
      <w:r>
        <w:rPr>
          <w:color w:val="000000"/>
        </w:rPr>
        <w:t>”</w:t>
      </w:r>
      <w:r>
        <w:rPr>
          <w:rFonts w:ascii="sans-serif" w:hAnsi="sans-serif"/>
          <w:b w:val="false"/>
          <w:color w:val="000000"/>
          <w:sz w:val="24"/>
        </w:rPr>
        <w:t>), an award of restricted stock units (“</w:t>
      </w:r>
      <w:r>
        <w:rPr>
          <w:rFonts w:ascii="sans-serif" w:hAnsi="sans-serif"/>
          <w:b/>
          <w:i/>
          <w:color w:val="000000"/>
          <w:sz w:val="24"/>
        </w:rPr>
        <w:t>Restricted Stock Units</w:t>
      </w:r>
      <w:r>
        <w:rPr>
          <w:color w:val="000000"/>
        </w:rPr>
        <w:t xml:space="preserve">” </w:t>
      </w:r>
      <w:r>
        <w:rPr>
          <w:rFonts w:ascii="sans-serif" w:hAnsi="sans-serif"/>
          <w:b w:val="false"/>
          <w:color w:val="000000"/>
          <w:sz w:val="24"/>
        </w:rPr>
        <w:t>or</w:t>
      </w:r>
      <w:r>
        <w:rPr>
          <w:color w:val="000000"/>
        </w:rPr>
        <w:t xml:space="preserve"> “</w:t>
      </w:r>
      <w:r>
        <w:rPr>
          <w:rFonts w:ascii="sans-serif" w:hAnsi="sans-serif"/>
          <w:b/>
          <w:i/>
          <w:color w:val="000000"/>
          <w:sz w:val="24"/>
        </w:rPr>
        <w:t>RSUs</w:t>
      </w:r>
      <w:r>
        <w:rPr>
          <w:color w:val="000000"/>
        </w:rPr>
        <w:t>”</w:t>
      </w:r>
      <w:r>
        <w:rPr>
          <w:rFonts w:ascii="sans-serif" w:hAnsi="sans-serif"/>
          <w:b w:val="false"/>
          <w:color w:val="000000"/>
          <w:sz w:val="24"/>
        </w:rPr>
        <w:t xml:space="preserve">). Each vested Restricted Stock Unit represents the right to receive, in accordance with the Restricted Stock Unit Award Agreement attached hereto as </w:t>
      </w:r>
      <w:r>
        <w:rPr>
          <w:rFonts w:ascii="sans-serif" w:hAnsi="sans-serif"/>
          <w:b/>
          <w:color w:val="000000"/>
          <w:sz w:val="24"/>
        </w:rPr>
        <w:t>Exhibit A</w:t>
      </w:r>
      <w:r>
        <w:rPr>
          <w:color w:val="000000"/>
        </w:rPr>
        <w:t xml:space="preserve"> </w:t>
      </w:r>
      <w:r>
        <w:rPr>
          <w:rFonts w:ascii="sans-serif" w:hAnsi="sans-serif"/>
          <w:b w:val="false"/>
          <w:color w:val="000000"/>
          <w:sz w:val="24"/>
        </w:rPr>
        <w:t>(the “</w:t>
      </w:r>
      <w:r>
        <w:rPr>
          <w:rFonts w:ascii="sans-serif" w:hAnsi="sans-serif"/>
          <w:b/>
          <w:i/>
          <w:color w:val="000000"/>
          <w:sz w:val="24"/>
        </w:rPr>
        <w:t>Agreement</w:t>
      </w:r>
      <w:r>
        <w:rPr>
          <w:color w:val="000000"/>
        </w:rPr>
        <w:t>”</w:t>
      </w:r>
      <w:r>
        <w:rPr>
          <w:rFonts w:ascii="sans-serif" w:hAnsi="sans-serif"/>
          <w:b w:val="false"/>
          <w:color w:val="000000"/>
          <w:sz w:val="24"/>
        </w:rPr>
        <w:t>), including any special provisions for Participant’s country of residence, if any, set forth in the Appendix for Participant’s Country (the “</w:t>
      </w:r>
      <w:r>
        <w:rPr>
          <w:rFonts w:ascii="sans-serif" w:hAnsi="sans-serif"/>
          <w:b/>
          <w:i/>
          <w:color w:val="000000"/>
          <w:sz w:val="24"/>
        </w:rPr>
        <w:t>Country Provisions</w:t>
      </w:r>
      <w:r>
        <w:rPr>
          <w:color w:val="000000"/>
        </w:rPr>
        <w:t>”</w:t>
      </w:r>
      <w:r>
        <w:rPr>
          <w:rFonts w:ascii="sans-serif" w:hAnsi="sans-serif"/>
          <w:b w:val="false"/>
          <w:color w:val="000000"/>
          <w:sz w:val="24"/>
        </w:rPr>
        <w:t>), one share of Common Stock (“</w:t>
      </w:r>
      <w:r>
        <w:rPr>
          <w:rFonts w:ascii="sans-serif" w:hAnsi="sans-serif"/>
          <w:b/>
          <w:i/>
          <w:color w:val="000000"/>
          <w:sz w:val="24"/>
        </w:rPr>
        <w:t>Share</w:t>
      </w:r>
      <w:r>
        <w:rPr>
          <w:color w:val="000000"/>
        </w:rPr>
        <w:t>”</w:t>
      </w:r>
      <w:r>
        <w:rPr>
          <w:rFonts w:ascii="sans-serif" w:hAnsi="sans-serif"/>
          <w:b w:val="false"/>
          <w:color w:val="000000"/>
          <w:sz w:val="24"/>
        </w:rPr>
        <w:t>). This award of Restricted Stock Units is subject to all of the terms and conditions set forth herein and in the Agreement, the Country Provisions (if applicable) and the Plan, each of which are incorporated herein by reference. Unless otherwise defined herein, the terms defined in the Plan shall have the same defined meanings in this Restricted Stock Unit Award Grant Notice, the Country Provisions and the Agreement.</w:t>
      </w:r>
    </w:p>
    <w:tbl>
      <w:tblPr>
        <w:tblW w:w="10205" w:type="dxa"/>
        <w:jc w:val="left"/>
        <w:tblInd w:w="0" w:type="dxa"/>
        <w:tblLayout w:type="fixed"/>
        <w:tblCellMar>
          <w:top w:w="28" w:type="dxa"/>
          <w:left w:w="28" w:type="dxa"/>
          <w:bottom w:w="28" w:type="dxa"/>
          <w:right w:w="28" w:type="dxa"/>
        </w:tblCellMar>
      </w:tblPr>
      <w:tblGrid>
        <w:gridCol w:w="1241"/>
        <w:gridCol w:w="805"/>
        <w:gridCol w:w="697"/>
        <w:gridCol w:w="2587"/>
        <w:gridCol w:w="2245"/>
        <w:gridCol w:w="2630"/>
      </w:tblGrid>
      <w:tr>
        <w:trPr/>
        <w:tc>
          <w:tcPr>
            <w:tcW w:w="124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
              <w:jc w:val="both"/>
              <w:rPr>
                <w:rFonts w:ascii="sans-serif" w:hAnsi="sans-serif"/>
                <w:b/>
                <w:color w:val="000000"/>
                <w:sz w:val="24"/>
              </w:rPr>
            </w:pPr>
            <w:r>
              <w:rPr>
                <w:rFonts w:ascii="sans-serif" w:hAnsi="sans-serif"/>
                <w:b/>
                <w:color w:val="000000"/>
                <w:sz w:val="24"/>
              </w:rPr>
              <w:t>Participant:</w:t>
            </w:r>
          </w:p>
        </w:tc>
        <w:tc>
          <w:tcPr>
            <w:tcW w:w="7462"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3"/>
              <w:jc w:val="both"/>
              <w:rPr>
                <w:rFonts w:ascii="sans-serif" w:hAnsi="sans-serif"/>
                <w:b w:val="false"/>
                <w:color w:val="000000"/>
                <w:sz w:val="24"/>
              </w:rPr>
            </w:pPr>
            <w:r>
              <w:rPr>
                <w:rFonts w:ascii="sans-serif" w:hAnsi="sans-serif"/>
                <w:b w:val="false"/>
                <w:color w:val="000000"/>
                <w:sz w:val="24"/>
              </w:rPr>
              <w:t>[__________________________]</w:t>
            </w:r>
          </w:p>
        </w:tc>
      </w:tr>
      <w:tr>
        <w:trPr/>
        <w:tc>
          <w:tcPr>
            <w:tcW w:w="2743"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3"/>
              <w:jc w:val="both"/>
              <w:rPr>
                <w:rFonts w:ascii="sans-serif" w:hAnsi="sans-serif"/>
                <w:b/>
                <w:color w:val="000000"/>
                <w:sz w:val="24"/>
              </w:rPr>
            </w:pPr>
            <w:r>
              <w:rPr>
                <w:rFonts w:ascii="sans-serif" w:hAnsi="sans-serif"/>
                <w:b/>
                <w:color w:val="000000"/>
                <w:sz w:val="24"/>
              </w:rPr>
              <w:t>Grant Date:</w:t>
            </w:r>
          </w:p>
        </w:tc>
        <w:tc>
          <w:tcPr>
            <w:tcW w:w="74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[__________________________]</w:t>
            </w:r>
          </w:p>
        </w:tc>
      </w:tr>
      <w:tr>
        <w:trPr/>
        <w:tc>
          <w:tcPr>
            <w:tcW w:w="27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color w:val="000000"/>
                <w:sz w:val="24"/>
              </w:rPr>
            </w:pPr>
            <w:r>
              <w:rPr>
                <w:rFonts w:ascii="sans-serif" w:hAnsi="sans-serif"/>
                <w:b/>
                <w:color w:val="000000"/>
                <w:sz w:val="24"/>
              </w:rPr>
              <w:t>Total Number of RSUs:</w:t>
            </w:r>
          </w:p>
        </w:tc>
        <w:tc>
          <w:tcPr>
            <w:tcW w:w="746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
              <w:jc w:val="both"/>
              <w:rPr>
                <w:rFonts w:ascii="sans-serif" w:hAnsi="sans-serif"/>
                <w:b w:val="false"/>
                <w:color w:val="000000"/>
                <w:sz w:val="24"/>
              </w:rPr>
            </w:pPr>
            <w:r>
              <w:rPr>
                <w:rFonts w:ascii="sans-serif" w:hAnsi="sans-serif"/>
                <w:b w:val="false"/>
                <w:color w:val="000000"/>
                <w:sz w:val="24"/>
              </w:rPr>
              <w:t xml:space="preserve">[_____________] </w:t>
            </w:r>
          </w:p>
        </w:tc>
      </w:tr>
      <w:tr>
        <w:trPr/>
        <w:tc>
          <w:tcPr>
            <w:tcW w:w="27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
              <w:jc w:val="both"/>
              <w:rPr>
                <w:rFonts w:ascii="sans-serif" w:hAnsi="sans-serif"/>
                <w:b/>
                <w:color w:val="000000"/>
                <w:sz w:val="24"/>
              </w:rPr>
            </w:pPr>
            <w:r>
              <w:rPr>
                <w:rFonts w:ascii="sans-serif" w:hAnsi="sans-serif"/>
                <w:b/>
                <w:color w:val="000000"/>
                <w:sz w:val="24"/>
              </w:rPr>
              <w:t>Vesting Commencement Date:</w:t>
            </w:r>
          </w:p>
        </w:tc>
        <w:tc>
          <w:tcPr>
            <w:tcW w:w="74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[_____________]</w:t>
            </w:r>
          </w:p>
        </w:tc>
      </w:tr>
      <w:tr>
        <w:trPr/>
        <w:tc>
          <w:tcPr>
            <w:tcW w:w="2743"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
              <w:jc w:val="both"/>
              <w:rPr>
                <w:rFonts w:ascii="sans-serif" w:hAnsi="sans-serif"/>
                <w:b/>
                <w:color w:val="000000"/>
                <w:sz w:val="24"/>
              </w:rPr>
            </w:pPr>
            <w:r>
              <w:rPr>
                <w:rFonts w:ascii="sans-serif" w:hAnsi="sans-serif"/>
                <w:b/>
                <w:color w:val="000000"/>
                <w:sz w:val="24"/>
              </w:rPr>
              <w:t>Vesting Schedule:</w:t>
            </w:r>
          </w:p>
        </w:tc>
        <w:tc>
          <w:tcPr>
            <w:tcW w:w="74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[_____________]</w:t>
            </w:r>
          </w:p>
        </w:tc>
      </w:tr>
      <w:tr>
        <w:trPr/>
        <w:tc>
          <w:tcPr>
            <w:tcW w:w="27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color w:val="000000"/>
                <w:sz w:val="24"/>
              </w:rPr>
            </w:pPr>
            <w:r>
              <w:rPr>
                <w:rFonts w:ascii="sans-serif" w:hAnsi="sans-serif"/>
                <w:b/>
                <w:color w:val="000000"/>
                <w:sz w:val="24"/>
              </w:rPr>
              <w:t>Termination:</w:t>
            </w:r>
          </w:p>
        </w:tc>
        <w:tc>
          <w:tcPr>
            <w:tcW w:w="746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24"/>
              </w:rPr>
            </w:pPr>
            <w:r>
              <w:rPr>
                <w:rFonts w:ascii="sans-serif" w:hAnsi="sans-serif"/>
                <w:b w:val="false"/>
                <w:color w:val="000000"/>
                <w:sz w:val="24"/>
              </w:rPr>
              <w:t>If Participant experiences a Termination of Service, all RSUs that have not become vested on or prior to the date of such Termination of Service will thereupon be automatically forfeited by Participant without payment of any consideration therefor.</w:t>
            </w:r>
          </w:p>
        </w:tc>
      </w:tr>
    </w:tbl>
    <w:p>
      <w:pPr>
        <w:pStyle w:val="TextBody"/>
        <w:bidi w:val="0"/>
        <w:spacing w:lineRule="auto" w:line="288" w:before="0" w:after="240"/>
        <w:ind w:left="0" w:right="0" w:firstLine="720"/>
        <w:jc w:val="both"/>
        <w:rPr/>
      </w:pPr>
      <w:r>
        <w:rPr>
          <w:rFonts w:ascii="sans-serif" w:hAnsi="sans-serif"/>
          <w:b w:val="false"/>
          <w:color w:val="000000"/>
          <w:sz w:val="24"/>
        </w:rPr>
        <w:t>Participant understands that the terms of this award of RSUs explicitly include the following (a “</w:t>
      </w:r>
      <w:r>
        <w:rPr>
          <w:rFonts w:ascii="sans-serif" w:hAnsi="sans-serif"/>
          <w:b/>
          <w:i/>
          <w:color w:val="000000"/>
          <w:sz w:val="24"/>
        </w:rPr>
        <w:t>Sell to Cover</w:t>
      </w:r>
      <w:r>
        <w:rPr>
          <w:color w:val="000000"/>
        </w:rPr>
        <w:t>”</w:t>
      </w:r>
      <w:r>
        <w:rPr>
          <w:rFonts w:ascii="sans-serif" w:hAnsi="sans-serif"/>
          <w:b w:val="false"/>
          <w:color w:val="000000"/>
          <w:sz w:val="24"/>
        </w:rPr>
        <w:t>):</w:t>
      </w:r>
    </w:p>
    <w:p>
      <w:pPr>
        <w:pStyle w:val="TextBody"/>
        <w:bidi w:val="0"/>
        <w:spacing w:lineRule="auto" w:line="288" w:before="0" w:after="240"/>
        <w:ind w:left="0" w:right="0" w:firstLine="720"/>
        <w:jc w:val="both"/>
        <w:rPr/>
      </w:pPr>
      <w:r>
        <w:rPr>
          <w:rFonts w:ascii="sans-serif" w:hAnsi="sans-serif"/>
          <w:b w:val="false"/>
          <w:color w:val="000000"/>
          <w:sz w:val="24"/>
        </w:rPr>
        <w:t>Upon vesting of the RSUs and issuance of the resulting Shares, the Company, on Participant’s behalf, will instruct the Company’s transfer agent (together with any other party the Company determines necessary to execute the Sell to Cover, the “</w:t>
      </w:r>
      <w:r>
        <w:rPr>
          <w:rFonts w:ascii="sans-serif" w:hAnsi="sans-serif"/>
          <w:b/>
          <w:i/>
          <w:color w:val="000000"/>
          <w:sz w:val="24"/>
        </w:rPr>
        <w:t>Agent</w:t>
      </w:r>
      <w:r>
        <w:rPr>
          <w:color w:val="000000"/>
        </w:rPr>
        <w:t>”</w:t>
      </w:r>
      <w:r>
        <w:rPr>
          <w:rFonts w:ascii="sans-serif" w:hAnsi="sans-serif"/>
          <w:b w:val="false"/>
          <w:color w:val="000000"/>
          <w:sz w:val="24"/>
        </w:rPr>
        <w:t xml:space="preserve">) to sell that number of Shares determined in accordance with Section 2.6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 </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 xml:space="preserve">If the Company uses an electronic capitalization table system (such as Shareworks, Certent, Fidelity or Equity Edge) and the fields in this Grant Notice are blank or the information is otherwise provided in a different format electronically, the blank fields and other information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 xml:space="preserve">will be deemed to come from the electronic equity administration system and is considered part of this Grant Notice. In addition, the Company’s signature below shall be deemed to have occurred by the Company’s input of the RSUs in such electronic equity administration system and the Participant’s signature below shall be deemed to have occurred by the Participant’s online acceptance of the RSUs through such electronic equity administration system. </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By his or her signature and the Company’s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w:t>
      </w:r>
    </w:p>
    <w:tbl>
      <w:tblPr>
        <w:tblW w:w="9185" w:type="dxa"/>
        <w:jc w:val="left"/>
        <w:tblInd w:w="0" w:type="dxa"/>
        <w:tblLayout w:type="fixed"/>
        <w:tblCellMar>
          <w:top w:w="28" w:type="dxa"/>
          <w:left w:w="28" w:type="dxa"/>
          <w:bottom w:w="28" w:type="dxa"/>
          <w:right w:w="28" w:type="dxa"/>
        </w:tblCellMar>
      </w:tblPr>
      <w:tblGrid>
        <w:gridCol w:w="830"/>
        <w:gridCol w:w="729"/>
        <w:gridCol w:w="729"/>
        <w:gridCol w:w="729"/>
        <w:gridCol w:w="729"/>
        <w:gridCol w:w="729"/>
        <w:gridCol w:w="729"/>
        <w:gridCol w:w="729"/>
        <w:gridCol w:w="734"/>
        <w:gridCol w:w="378"/>
        <w:gridCol w:w="378"/>
        <w:gridCol w:w="383"/>
        <w:gridCol w:w="214"/>
        <w:gridCol w:w="214"/>
        <w:gridCol w:w="214"/>
        <w:gridCol w:w="214"/>
        <w:gridCol w:w="214"/>
        <w:gridCol w:w="309"/>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6667" w:type="dxa"/>
            <w:gridSpan w:val="9"/>
            <w:tcBorders/>
            <w:tcMar>
              <w:top w:w="0" w:type="dxa"/>
              <w:left w:w="0" w:type="dxa"/>
              <w:bottom w:w="0" w:type="dxa"/>
              <w:right w:w="0" w:type="dxa"/>
            </w:tcMar>
            <w:vAlign w:val="center"/>
          </w:tcPr>
          <w:p>
            <w:pPr>
              <w:pStyle w:val="TableContents"/>
              <w:bidi w:val="0"/>
              <w:spacing w:lineRule="auto" w:line="288" w:before="0" w:after="283"/>
              <w:ind w:left="0" w:right="0" w:firstLine="43"/>
              <w:jc w:val="left"/>
              <w:rPr>
                <w:rFonts w:ascii="sans-serif" w:hAnsi="sans-serif"/>
                <w:b/>
                <w:color w:val="000000"/>
                <w:sz w:val="24"/>
              </w:rPr>
            </w:pPr>
            <w:r>
              <w:rPr>
                <w:rFonts w:ascii="sans-serif" w:hAnsi="sans-serif"/>
                <w:b/>
                <w:color w:val="000000"/>
                <w:sz w:val="24"/>
              </w:rPr>
              <w:t>NEUTRON                 HOLDINGS,                 INC.:</w:t>
            </w:r>
          </w:p>
        </w:tc>
        <w:tc>
          <w:tcPr>
            <w:tcW w:w="2518"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color w:val="000000"/>
                <w:sz w:val="24"/>
              </w:rPr>
            </w:pPr>
            <w:r>
              <w:rPr>
                <w:rFonts w:ascii="sans-serif" w:hAnsi="sans-serif"/>
                <w:b/>
                <w:color w:val="000000"/>
                <w:sz w:val="24"/>
              </w:rPr>
              <w:t>PARTICIPANT:</w:t>
            </w:r>
          </w:p>
        </w:tc>
      </w:tr>
      <w:tr>
        <w:trPr/>
        <w:tc>
          <w:tcPr>
            <w:tcW w:w="4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4"/>
              </w:rPr>
            </w:pPr>
            <w:r>
              <w:rPr>
                <w:rFonts w:ascii="sans-serif" w:hAnsi="sans-serif"/>
                <w:b/>
                <w:color w:val="000000"/>
                <w:sz w:val="24"/>
              </w:rPr>
              <w:t>PARTICIPANT:</w:t>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By:</w:t>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ind w:left="0" w:right="0" w:firstLine="4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By:</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 xml:space="preserve">Print </w:t>
              <w:br/>
              <w:t xml:space="preserve">Name: </w:t>
            </w:r>
          </w:p>
        </w:tc>
        <w:tc>
          <w:tcPr>
            <w:tcW w:w="2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ind w:left="0" w:right="0" w:firstLine="4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Print </w:t>
            </w:r>
          </w:p>
          <w:p>
            <w:pPr>
              <w:pStyle w:val="TableContents"/>
              <w:bidi w:val="0"/>
              <w:spacing w:lineRule="auto" w:line="288" w:before="0" w:after="0"/>
              <w:jc w:val="both"/>
              <w:rPr>
                <w:rFonts w:ascii="sans-serif" w:hAnsi="sans-serif"/>
                <w:b w:val="false"/>
                <w:color w:val="000000"/>
                <w:sz w:val="24"/>
              </w:rPr>
            </w:pPr>
            <w:r>
              <w:rPr>
                <w:rFonts w:ascii="sans-serif" w:hAnsi="sans-serif"/>
                <w:b w:val="false"/>
                <w:color w:val="000000"/>
                <w:sz w:val="24"/>
              </w:rPr>
              <w:t>Name:</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vMerge w:val="continue"/>
            <w:tcBorders/>
            <w:tcMar>
              <w:top w:w="0" w:type="dxa"/>
              <w:left w:w="0" w:type="dxa"/>
              <w:bottom w:w="0" w:type="dxa"/>
              <w:right w:w="0" w:type="dxa"/>
            </w:tcMar>
            <w:vAlign w:val="center"/>
          </w:tcPr>
          <w:p>
            <w:pPr>
              <w:pStyle w:val="Normal"/>
              <w:bidi w:val="0"/>
              <w:jc w:val="left"/>
              <w:rPr/>
            </w:pPr>
            <w:r>
              <w:rPr/>
            </w:r>
          </w:p>
        </w:tc>
        <w:tc>
          <w:tcPr>
            <w:tcW w:w="2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Title:</w:t>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 xml:space="preserve">Address: </w:t>
            </w:r>
          </w:p>
        </w:tc>
        <w:tc>
          <w:tcPr>
            <w:tcW w:w="21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before="0" w:after="283"/>
              <w:ind w:left="0" w:right="0" w:firstLine="4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Address:</w:t>
            </w:r>
          </w:p>
        </w:tc>
        <w:tc>
          <w:tcPr>
            <w:tcW w:w="6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center"/>
        <w:rPr>
          <w:rFonts w:ascii="sans-serif" w:hAnsi="sans-serif"/>
          <w:b/>
          <w:color w:val="000000"/>
          <w:sz w:val="24"/>
        </w:rPr>
      </w:pPr>
      <w:r>
        <w:rPr>
          <w:rFonts w:ascii="sans-serif" w:hAnsi="sans-serif"/>
          <w:b/>
          <w:color w:val="000000"/>
          <w:sz w:val="24"/>
        </w:rPr>
        <w:t>EXHIBIT A</w:t>
      </w:r>
    </w:p>
    <w:p>
      <w:pPr>
        <w:pStyle w:val="TextBody"/>
        <w:bidi w:val="0"/>
        <w:spacing w:lineRule="auto" w:line="333" w:before="0" w:after="240"/>
        <w:jc w:val="center"/>
        <w:rPr>
          <w:rFonts w:ascii="sans-serif" w:hAnsi="sans-serif"/>
          <w:b/>
          <w:color w:val="000000"/>
          <w:sz w:val="24"/>
        </w:rPr>
      </w:pPr>
      <w:r>
        <w:rPr>
          <w:rFonts w:ascii="sans-serif" w:hAnsi="sans-serif"/>
          <w:b/>
          <w:color w:val="000000"/>
          <w:sz w:val="24"/>
        </w:rPr>
        <w:t>TO RESTRICTED STOCK UNIT AWARD GRANT NOTICE</w:t>
      </w:r>
    </w:p>
    <w:p>
      <w:pPr>
        <w:pStyle w:val="TextBody"/>
        <w:bidi w:val="0"/>
        <w:spacing w:lineRule="auto" w:line="333" w:before="0" w:after="240"/>
        <w:jc w:val="center"/>
        <w:rPr>
          <w:rFonts w:ascii="sans-serif" w:hAnsi="sans-serif"/>
          <w:b/>
          <w:color w:val="000000"/>
          <w:sz w:val="24"/>
        </w:rPr>
      </w:pPr>
      <w:r>
        <w:rPr>
          <w:rFonts w:ascii="sans-serif" w:hAnsi="sans-serif"/>
          <w:b/>
          <w:color w:val="000000"/>
          <w:sz w:val="24"/>
        </w:rPr>
        <w:t>RESTRICTED STOCK UNIT AWARD AGREEMENT</w:t>
      </w:r>
    </w:p>
    <w:p>
      <w:pPr>
        <w:pStyle w:val="TextBody"/>
        <w:bidi w:val="0"/>
        <w:spacing w:lineRule="auto" w:line="333" w:before="0" w:after="240"/>
        <w:ind w:left="0" w:right="0" w:firstLine="720"/>
        <w:jc w:val="both"/>
        <w:rPr/>
      </w:pPr>
      <w:r>
        <w:rPr>
          <w:rFonts w:ascii="sans-serif" w:hAnsi="sans-serif"/>
          <w:b w:val="false"/>
          <w:color w:val="000000"/>
          <w:sz w:val="24"/>
        </w:rPr>
        <w:t>Pursuant to the Restricted Stock Unit Award Grant Notice (the “</w:t>
      </w:r>
      <w:r>
        <w:rPr>
          <w:rFonts w:ascii="sans-serif" w:hAnsi="sans-serif"/>
          <w:b/>
          <w:i/>
          <w:color w:val="000000"/>
          <w:sz w:val="24"/>
        </w:rPr>
        <w:t>Grant Notice</w:t>
      </w:r>
      <w:r>
        <w:rPr>
          <w:color w:val="000000"/>
        </w:rPr>
        <w:t>”</w:t>
      </w:r>
      <w:r>
        <w:rPr>
          <w:rFonts w:ascii="sans-serif" w:hAnsi="sans-serif"/>
          <w:b w:val="false"/>
          <w:color w:val="000000"/>
          <w:sz w:val="24"/>
        </w:rPr>
        <w:t xml:space="preserve">) to which this Restricted Stock Unit Award Agreement (this </w:t>
      </w:r>
      <w:r>
        <w:rPr>
          <w:color w:val="000000"/>
        </w:rPr>
        <w:t>“</w:t>
      </w:r>
      <w:r>
        <w:rPr>
          <w:rFonts w:ascii="sans-serif" w:hAnsi="sans-serif"/>
          <w:b/>
          <w:i/>
          <w:color w:val="000000"/>
          <w:sz w:val="24"/>
        </w:rPr>
        <w:t>Agreement</w:t>
      </w:r>
      <w:r>
        <w:rPr>
          <w:color w:val="000000"/>
        </w:rPr>
        <w:t>”</w:t>
      </w:r>
      <w:r>
        <w:rPr>
          <w:rFonts w:ascii="sans-serif" w:hAnsi="sans-serif"/>
          <w:b w:val="false"/>
          <w:color w:val="000000"/>
          <w:sz w:val="24"/>
        </w:rPr>
        <w:t xml:space="preserve">) is attached, Neutron Holdings, Inc., a Delaware corporation (the </w:t>
      </w:r>
      <w:r>
        <w:rPr>
          <w:color w:val="000000"/>
        </w:rPr>
        <w:t>“</w:t>
      </w:r>
      <w:r>
        <w:rPr>
          <w:rFonts w:ascii="sans-serif" w:hAnsi="sans-serif"/>
          <w:b/>
          <w:i/>
          <w:color w:val="000000"/>
          <w:sz w:val="24"/>
        </w:rPr>
        <w:t>Company</w:t>
      </w:r>
      <w:r>
        <w:rPr>
          <w:color w:val="000000"/>
        </w:rPr>
        <w:t>”</w:t>
      </w:r>
      <w:r>
        <w:rPr>
          <w:rFonts w:ascii="sans-serif" w:hAnsi="sans-serif"/>
          <w:b w:val="false"/>
          <w:color w:val="000000"/>
          <w:sz w:val="24"/>
        </w:rPr>
        <w:t>), has granted to Participant the number of restricted stock units (“</w:t>
      </w:r>
      <w:r>
        <w:rPr>
          <w:rFonts w:ascii="sans-serif" w:hAnsi="sans-serif"/>
          <w:b/>
          <w:i/>
          <w:color w:val="000000"/>
          <w:sz w:val="24"/>
        </w:rPr>
        <w:t>Restricted Stock Units</w:t>
      </w:r>
      <w:r>
        <w:rPr>
          <w:color w:val="000000"/>
        </w:rPr>
        <w:t xml:space="preserve">” </w:t>
      </w:r>
      <w:r>
        <w:rPr>
          <w:rFonts w:ascii="sans-serif" w:hAnsi="sans-serif"/>
          <w:b w:val="false"/>
          <w:color w:val="000000"/>
          <w:sz w:val="24"/>
        </w:rPr>
        <w:t>or</w:t>
      </w:r>
      <w:r>
        <w:rPr>
          <w:color w:val="000000"/>
        </w:rPr>
        <w:t xml:space="preserve"> “</w:t>
      </w:r>
      <w:r>
        <w:rPr>
          <w:rFonts w:ascii="sans-serif" w:hAnsi="sans-serif"/>
          <w:b/>
          <w:i/>
          <w:color w:val="000000"/>
          <w:sz w:val="24"/>
        </w:rPr>
        <w:t>RSUs</w:t>
      </w:r>
      <w:r>
        <w:rPr>
          <w:color w:val="000000"/>
        </w:rPr>
        <w:t>”</w:t>
      </w:r>
      <w:r>
        <w:rPr>
          <w:rFonts w:ascii="sans-serif" w:hAnsi="sans-serif"/>
          <w:b w:val="false"/>
          <w:color w:val="000000"/>
          <w:sz w:val="24"/>
        </w:rPr>
        <w:t xml:space="preserve">) set forth in the Grant Notice under the Company’s 2026 Incentive Award Plan, as may be amended from time to time (the </w:t>
      </w:r>
      <w:r>
        <w:rPr>
          <w:color w:val="000000"/>
        </w:rPr>
        <w:t>“</w:t>
      </w:r>
      <w:r>
        <w:rPr>
          <w:rFonts w:ascii="sans-serif" w:hAnsi="sans-serif"/>
          <w:b/>
          <w:i/>
          <w:color w:val="000000"/>
          <w:sz w:val="24"/>
        </w:rPr>
        <w:t>Plan</w:t>
      </w:r>
      <w:r>
        <w:rPr>
          <w:color w:val="000000"/>
        </w:rPr>
        <w:t>”</w:t>
      </w:r>
      <w:r>
        <w:rPr>
          <w:rFonts w:ascii="sans-serif" w:hAnsi="sans-serif"/>
          <w:b w:val="false"/>
          <w:color w:val="000000"/>
          <w:sz w:val="24"/>
        </w:rPr>
        <w:t>). Each Restricted Stock Unit represents the right to receive one share of Common Stock (a “</w:t>
      </w:r>
      <w:r>
        <w:rPr>
          <w:rFonts w:ascii="sans-serif" w:hAnsi="sans-serif"/>
          <w:b/>
          <w:i/>
          <w:color w:val="000000"/>
          <w:sz w:val="24"/>
        </w:rPr>
        <w:t>Share</w:t>
      </w:r>
      <w:r>
        <w:rPr>
          <w:color w:val="000000"/>
        </w:rPr>
        <w:t>”</w:t>
      </w:r>
      <w:r>
        <w:rPr>
          <w:rFonts w:ascii="sans-serif" w:hAnsi="sans-serif"/>
          <w:b w:val="false"/>
          <w:color w:val="000000"/>
          <w:sz w:val="24"/>
        </w:rPr>
        <w:t>) upon vesting.</w:t>
      </w:r>
    </w:p>
    <w:p>
      <w:pPr>
        <w:pStyle w:val="TextBody"/>
        <w:bidi w:val="0"/>
        <w:spacing w:lineRule="auto" w:line="333" w:before="0" w:after="0"/>
        <w:jc w:val="center"/>
        <w:rPr>
          <w:rFonts w:ascii="sans-serif" w:hAnsi="sans-serif"/>
          <w:b/>
          <w:color w:val="000000"/>
          <w:sz w:val="24"/>
        </w:rPr>
      </w:pPr>
      <w:r>
        <w:rPr>
          <w:rFonts w:ascii="sans-serif" w:hAnsi="sans-serif"/>
          <w:b/>
          <w:color w:val="000000"/>
          <w:sz w:val="24"/>
        </w:rPr>
        <w:t>ARTICLE I.</w:t>
      </w:r>
    </w:p>
    <w:p>
      <w:pPr>
        <w:pStyle w:val="TextBody"/>
        <w:bidi w:val="0"/>
        <w:spacing w:lineRule="auto" w:line="333" w:before="0" w:after="240"/>
        <w:jc w:val="center"/>
        <w:rPr>
          <w:rFonts w:ascii="sans-serif" w:hAnsi="sans-serif"/>
          <w:b/>
          <w:color w:val="000000"/>
          <w:sz w:val="24"/>
        </w:rPr>
      </w:pPr>
      <w:r>
        <w:rPr>
          <w:rFonts w:ascii="sans-serif" w:hAnsi="sans-serif"/>
          <w:b/>
          <w:color w:val="000000"/>
          <w:sz w:val="24"/>
        </w:rPr>
        <w:t>GENERAL</w:t>
      </w:r>
    </w:p>
    <w:p>
      <w:pPr>
        <w:pStyle w:val="TextBody"/>
        <w:bidi w:val="0"/>
        <w:spacing w:lineRule="auto" w:line="333" w:before="0" w:after="240"/>
        <w:ind w:left="0" w:right="0" w:firstLine="720"/>
        <w:jc w:val="both"/>
        <w:rPr/>
      </w:pPr>
      <w:r>
        <w:rPr>
          <w:rFonts w:ascii="sans-serif" w:hAnsi="sans-serif"/>
          <w:b w:val="false"/>
          <w:color w:val="000000"/>
          <w:sz w:val="24"/>
        </w:rPr>
        <w:t>1.1    </w:t>
      </w:r>
      <w:r>
        <w:rPr>
          <w:rFonts w:ascii="sans-serif" w:hAnsi="sans-serif"/>
          <w:b w:val="false"/>
          <w:color w:val="000000"/>
          <w:sz w:val="24"/>
          <w:u w:val="single"/>
        </w:rPr>
        <w:t>Defined Terms</w:t>
      </w:r>
      <w:r>
        <w:rPr>
          <w:rFonts w:ascii="sans-serif" w:hAnsi="sans-serif"/>
          <w:b w:val="false"/>
          <w:color w:val="000000"/>
          <w:sz w:val="24"/>
        </w:rPr>
        <w:t>. Capitalized terms not specifically defined herein shall have the meanings specified in the Plan and the Grant Notice.</w:t>
      </w:r>
    </w:p>
    <w:p>
      <w:pPr>
        <w:pStyle w:val="TextBody"/>
        <w:bidi w:val="0"/>
        <w:spacing w:lineRule="auto" w:line="333" w:before="0" w:after="240"/>
        <w:ind w:left="0" w:right="0" w:firstLine="720"/>
        <w:jc w:val="both"/>
        <w:rPr/>
      </w:pPr>
      <w:r>
        <w:rPr>
          <w:rFonts w:ascii="sans-serif" w:hAnsi="sans-serif"/>
          <w:b w:val="false"/>
          <w:color w:val="000000"/>
          <w:sz w:val="24"/>
        </w:rPr>
        <w:t>1.2    </w:t>
      </w:r>
      <w:r>
        <w:rPr>
          <w:rFonts w:ascii="sans-serif" w:hAnsi="sans-serif"/>
          <w:b w:val="false"/>
          <w:color w:val="000000"/>
          <w:sz w:val="24"/>
          <w:u w:val="single"/>
        </w:rPr>
        <w:t>Incorporation of Terms of Plan</w:t>
      </w:r>
      <w:r>
        <w:rPr>
          <w:rFonts w:ascii="sans-serif" w:hAnsi="sans-serif"/>
          <w:b w:val="false"/>
          <w:color w:val="000000"/>
          <w:sz w:val="24"/>
        </w:rPr>
        <w:t>. The RSUs are subject to the terms and conditions of the Plan, which are incorporated herein by reference. In the event of any inconsistency between the Plan and this Agreement, the terms of the Plan shall control. If the Country Provisions apply to Participant, in the event of a conflict between the terms of this Agreement, the Grant Notice or the Plan and the Country Provisions, the terms of the Country Provisions shall control.</w:t>
      </w:r>
    </w:p>
    <w:p>
      <w:pPr>
        <w:pStyle w:val="TextBody"/>
        <w:bidi w:val="0"/>
        <w:spacing w:lineRule="auto" w:line="333" w:before="0" w:after="0"/>
        <w:jc w:val="center"/>
        <w:rPr>
          <w:rFonts w:ascii="sans-serif" w:hAnsi="sans-serif"/>
          <w:b/>
          <w:color w:val="000000"/>
          <w:sz w:val="24"/>
        </w:rPr>
      </w:pPr>
      <w:r>
        <w:rPr>
          <w:rFonts w:ascii="sans-serif" w:hAnsi="sans-serif"/>
          <w:b/>
          <w:color w:val="000000"/>
          <w:sz w:val="24"/>
        </w:rPr>
        <w:t>ARTICLE II.</w:t>
      </w:r>
    </w:p>
    <w:p>
      <w:pPr>
        <w:pStyle w:val="TextBody"/>
        <w:bidi w:val="0"/>
        <w:spacing w:lineRule="auto" w:line="240" w:before="0" w:after="240"/>
        <w:jc w:val="center"/>
        <w:rPr>
          <w:rFonts w:ascii="sans-serif" w:hAnsi="sans-serif"/>
          <w:b/>
          <w:color w:val="000000"/>
          <w:sz w:val="24"/>
        </w:rPr>
      </w:pPr>
      <w:r>
        <w:rPr>
          <w:rFonts w:ascii="sans-serif" w:hAnsi="sans-serif"/>
          <w:b/>
          <w:color w:val="000000"/>
          <w:sz w:val="24"/>
        </w:rPr>
        <w:t>GRANT OF RESTRICTED STOCK UNITS</w:t>
      </w:r>
    </w:p>
    <w:p>
      <w:pPr>
        <w:pStyle w:val="TextBody"/>
        <w:bidi w:val="0"/>
        <w:spacing w:lineRule="auto" w:line="333" w:before="0" w:after="240"/>
        <w:ind w:left="0" w:right="0" w:firstLine="720"/>
        <w:jc w:val="both"/>
        <w:rPr/>
      </w:pPr>
      <w:r>
        <w:rPr>
          <w:rFonts w:ascii="sans-serif" w:hAnsi="sans-serif"/>
          <w:b w:val="false"/>
          <w:color w:val="000000"/>
          <w:sz w:val="24"/>
        </w:rPr>
        <w:t>2.1    </w:t>
      </w:r>
      <w:r>
        <w:rPr>
          <w:rFonts w:ascii="sans-serif" w:hAnsi="sans-serif"/>
          <w:b w:val="false"/>
          <w:color w:val="000000"/>
          <w:sz w:val="24"/>
          <w:u w:val="single"/>
        </w:rPr>
        <w:t>Grant of RSUs</w:t>
      </w:r>
      <w:r>
        <w:rPr>
          <w:rFonts w:ascii="sans-serif" w:hAnsi="sans-serif"/>
          <w:b w:val="false"/>
          <w:color w:val="000000"/>
          <w:sz w:val="24"/>
        </w:rPr>
        <w:t xml:space="preserve">. Pursuant to the Grant Notice and upon the terms and conditions set forth in the Plan, this Agreement and the Country Provisions (if applicable), effective as of the Grant Date set forth in the Grant Notice, the Company hereby grants to Participant an award of RSUs under the Plan in consideration of Participant’s past and/or continued employment with or service to the Company or any Subsidiary and for other good and valuable consideration, subject to adjustments as provided in Article IX of the Plan. </w:t>
      </w:r>
    </w:p>
    <w:p>
      <w:pPr>
        <w:pStyle w:val="TextBody"/>
        <w:bidi w:val="0"/>
        <w:spacing w:lineRule="auto" w:line="333" w:before="0" w:after="240"/>
        <w:ind w:left="0" w:right="0" w:firstLine="720"/>
        <w:jc w:val="both"/>
        <w:rPr/>
      </w:pPr>
      <w:r>
        <w:rPr>
          <w:rFonts w:ascii="sans-serif" w:hAnsi="sans-serif"/>
          <w:b w:val="false"/>
          <w:color w:val="000000"/>
          <w:sz w:val="24"/>
        </w:rPr>
        <w:t>2.2    </w:t>
      </w:r>
      <w:r>
        <w:rPr>
          <w:rFonts w:ascii="sans-serif" w:hAnsi="sans-serif"/>
          <w:b w:val="false"/>
          <w:color w:val="000000"/>
          <w:sz w:val="24"/>
          <w:u w:val="single"/>
        </w:rPr>
        <w:t>Unsecured Obligation</w:t>
      </w:r>
      <w:r>
        <w:rPr>
          <w:rFonts w:ascii="sans-serif" w:hAnsi="sans-serif"/>
          <w:b w:val="false"/>
          <w:color w:val="000000"/>
          <w:sz w:val="24"/>
        </w:rPr>
        <w:t xml:space="preserve">. Unless and until the RSUs have vested in the manner set forth in Article II hereof, Participant will have no right to receive Common Stock or other property under any such RSUs. Prior to actual payment of any vested RSUs, such RSUs will represent an unsecured obligation of the Company, payable (if at all) only from the general assets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2560"/>
                <wp:effectExtent l="0" t="0" r="0" b="0"/>
                <wp:wrapNone/>
                <wp:docPr id="66" name="Frame6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A-1</w:t>
                      </w:r>
                    </w:p>
                  </w:txbxContent>
                </v:textbox>
                <w10:wrap type="none"/>
              </v:rect>
            </w:pict>
          </mc:Fallback>
        </mc:AlternateContent>
      </w:r>
    </w:p>
    <w:p>
      <w:pPr>
        <w:pStyle w:val="TextBody"/>
        <w:bidi w:val="0"/>
        <w:spacing w:lineRule="auto" w:line="333" w:before="0" w:after="240"/>
        <w:ind w:left="0" w:right="0" w:firstLine="720"/>
        <w:jc w:val="both"/>
        <w:rPr/>
      </w:pPr>
      <w:r>
        <w:rPr>
          <w:rFonts w:ascii="sans-serif" w:hAnsi="sans-serif"/>
          <w:b w:val="false"/>
          <w:color w:val="000000"/>
          <w:sz w:val="24"/>
        </w:rPr>
        <w:t>2.3    </w:t>
      </w:r>
      <w:r>
        <w:rPr>
          <w:rFonts w:ascii="sans-serif" w:hAnsi="sans-serif"/>
          <w:b w:val="false"/>
          <w:color w:val="000000"/>
          <w:sz w:val="24"/>
          <w:u w:val="single"/>
        </w:rPr>
        <w:t>Vesting Schedule</w:t>
      </w:r>
      <w:r>
        <w:rPr>
          <w:rFonts w:ascii="sans-serif" w:hAnsi="sans-serif"/>
          <w:b w:val="false"/>
          <w:color w:val="000000"/>
          <w:sz w:val="24"/>
        </w:rPr>
        <w:t>. Subject to Section 2.5 hereof, the RSUs shall vest and become nonforfeitable with respect to the applicable portion thereof according to the vesting schedule set forth in the Grant Notice (rounding down to the nearest whole Share). Notwithstanding the foregoing and the Grant Notice, but subject to Section 2.5 hereof, in the event of a Change in Control, the RSUs shall be treated pursuant to Section 9.2 and 9.3 of the Plan.</w:t>
      </w:r>
    </w:p>
    <w:p>
      <w:pPr>
        <w:pStyle w:val="TextBody"/>
        <w:bidi w:val="0"/>
        <w:spacing w:lineRule="auto" w:line="333" w:before="0" w:after="240"/>
        <w:ind w:left="0" w:right="0" w:firstLine="720"/>
        <w:jc w:val="both"/>
        <w:rPr/>
      </w:pPr>
      <w:r>
        <w:rPr>
          <w:rFonts w:ascii="sans-serif" w:hAnsi="sans-serif"/>
          <w:b w:val="false"/>
          <w:color w:val="000000"/>
          <w:sz w:val="24"/>
        </w:rPr>
        <w:t>2.4    </w:t>
      </w:r>
      <w:r>
        <w:rPr>
          <w:rFonts w:ascii="sans-serif" w:hAnsi="sans-serif"/>
          <w:b w:val="false"/>
          <w:color w:val="000000"/>
          <w:sz w:val="24"/>
          <w:u w:val="single"/>
        </w:rPr>
        <w:t>Consideration to the Company</w:t>
      </w:r>
      <w:r>
        <w:rPr>
          <w:rFonts w:ascii="sans-serif" w:hAnsi="sans-serif"/>
          <w:b w:val="false"/>
          <w:color w:val="000000"/>
          <w:sz w:val="24"/>
        </w:rPr>
        <w:t xml:space="preserve">. In consideration of the grant of the award of RSUs pursuant hereto, Participant agrees to render faithful and efficient services to the Company and its Subsidiaries, as applicable. </w:t>
      </w:r>
    </w:p>
    <w:p>
      <w:pPr>
        <w:pStyle w:val="TextBody"/>
        <w:bidi w:val="0"/>
        <w:spacing w:lineRule="auto" w:line="333" w:before="0" w:after="240"/>
        <w:ind w:left="0" w:right="0" w:firstLine="720"/>
        <w:jc w:val="both"/>
        <w:rPr/>
      </w:pPr>
      <w:r>
        <w:rPr>
          <w:rFonts w:ascii="sans-serif" w:hAnsi="sans-serif"/>
          <w:b w:val="false"/>
          <w:color w:val="000000"/>
          <w:sz w:val="24"/>
        </w:rPr>
        <w:t>2.5    </w:t>
      </w:r>
      <w:r>
        <w:rPr>
          <w:rFonts w:ascii="sans-serif" w:hAnsi="sans-serif"/>
          <w:b w:val="false"/>
          <w:color w:val="000000"/>
          <w:sz w:val="24"/>
          <w:u w:val="single"/>
        </w:rPr>
        <w:t>Forfeiture, Termination and Cancellation upon Termination of Service</w:t>
      </w:r>
      <w:r>
        <w:rPr>
          <w:rFonts w:ascii="sans-serif" w:hAnsi="sans-serif"/>
          <w:b w:val="false"/>
          <w:color w:val="000000"/>
          <w:sz w:val="24"/>
        </w:rPr>
        <w:t>. Notwithstanding any contrary provision of this Agreement or the Plan, upon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Participant, or Participant’s beneficiary or personal representative, as the case may be, shall have no further rights hereunder. No portion of the RSUs which has not become vested as of the date on which Participant incurs a Termination of Service shall thereafter become vested, except as may otherwise be provided by the Administrator or as set forth in a written agreement between the Company (or any Subsidiary that is the employer of Participant) and Participant.</w:t>
      </w:r>
    </w:p>
    <w:p>
      <w:pPr>
        <w:pStyle w:val="TextBody"/>
        <w:bidi w:val="0"/>
        <w:spacing w:lineRule="auto" w:line="333" w:before="0" w:after="240"/>
        <w:ind w:left="0" w:right="0" w:firstLine="720"/>
        <w:jc w:val="both"/>
        <w:rPr/>
      </w:pPr>
      <w:r>
        <w:rPr>
          <w:rFonts w:ascii="sans-serif" w:hAnsi="sans-serif"/>
          <w:b w:val="false"/>
          <w:color w:val="000000"/>
          <w:sz w:val="24"/>
        </w:rPr>
        <w:t>2.6    </w:t>
      </w:r>
      <w:r>
        <w:rPr>
          <w:rFonts w:ascii="sans-serif" w:hAnsi="sans-serif"/>
          <w:b w:val="false"/>
          <w:color w:val="000000"/>
          <w:sz w:val="24"/>
          <w:u w:val="single"/>
        </w:rPr>
        <w:t>Issuance of Common Stock upon Vesting</w:t>
      </w:r>
      <w:r>
        <w:rPr>
          <w:rFonts w:ascii="sans-serif" w:hAnsi="sans-serif"/>
          <w:b w:val="false"/>
          <w:color w:val="000000"/>
          <w:sz w:val="24"/>
        </w:rPr>
        <w:t>.</w:t>
      </w:r>
    </w:p>
    <w:p>
      <w:pPr>
        <w:pStyle w:val="TextBody"/>
        <w:bidi w:val="0"/>
        <w:spacing w:lineRule="auto" w:line="333" w:before="0" w:after="240"/>
        <w:ind w:left="0" w:right="0" w:firstLine="1440"/>
        <w:jc w:val="both"/>
        <w:rPr>
          <w:rFonts w:ascii="sans-serif" w:hAnsi="sans-serif"/>
          <w:b w:val="false"/>
          <w:color w:val="000000"/>
          <w:sz w:val="24"/>
        </w:rPr>
      </w:pPr>
      <w:r>
        <w:rPr>
          <w:rFonts w:ascii="sans-serif" w:hAnsi="sans-serif"/>
          <w:b w:val="false"/>
          <w:color w:val="000000"/>
          <w:sz w:val="24"/>
        </w:rPr>
        <w:t>(a)    As soon as administratively practicable following the vesting of any Restricted Stock Units pursuant to Section 2.3 hereof, but in no event later than March 15 of the calendar year immediately following the year in which such vesting date occurs (for the avoidance of doubt, this deadline is intended to comply with the “short term deferral” exemption from Section 409A of the Code), the Company shall deliver to Participant (or any transferee permitted under Section 3.2 hereof) a number of Shares equal to the number of RSUs subject to this Award that vest on the applicable vesting date. Notwithstanding the foregoing, in the event Shares are not issued pursuant to Section 10.7 of the Plan, the Shares shall be issued pursuant to the preceding sentence as soon as administratively practicable after the Administrator determines that Shares can again be issued in accordance with such Section.</w:t>
      </w:r>
    </w:p>
    <w:p>
      <w:pPr>
        <w:pStyle w:val="TextBody"/>
        <w:bidi w:val="0"/>
        <w:spacing w:lineRule="auto" w:line="333" w:before="0" w:after="240"/>
        <w:ind w:left="0" w:right="0" w:firstLine="1440"/>
        <w:jc w:val="both"/>
        <w:rPr>
          <w:rFonts w:ascii="sans-serif" w:hAnsi="sans-serif"/>
          <w:b w:val="false"/>
          <w:color w:val="000000"/>
          <w:sz w:val="24"/>
        </w:rPr>
      </w:pPr>
      <w:r>
        <w:rPr>
          <w:rFonts w:ascii="sans-serif" w:hAnsi="sans-serif"/>
          <w:b w:val="false"/>
          <w:color w:val="000000"/>
          <w:sz w:val="24"/>
        </w:rPr>
        <w:t xml:space="preserve">(b)    As set forth in Section 10.5 of the Plan, the Company shall have the authority and the right to deduct or withhold, or to require Participant to remit to the Company, an amount sufficient to satisfy all applicable Tax-Related Items required by law to be withheld with respect to any taxable event arising in connection with the RSUs (using any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2560"/>
                <wp:effectExtent l="0" t="0" r="0" b="0"/>
                <wp:wrapNone/>
                <wp:docPr id="67" name="Frame6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A-2</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of the methods set forth in the Plan).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Restricted Stock Units or the issuance of Shares. By accepting this award of RSUs, Participant has agreed to satisfy any Tax-Related Items calculated at up to the maximum statutory tax rate, as determined by the Company. This Section 2.6(b) shall terminate not later than the date on which all tax withholding and obligations arising in connection with the vesting and issuance of the RSUs have been satisfied.</w:t>
      </w:r>
    </w:p>
    <w:p>
      <w:pPr>
        <w:pStyle w:val="TextBody"/>
        <w:bidi w:val="0"/>
        <w:spacing w:lineRule="auto" w:line="333" w:before="0" w:after="240"/>
        <w:ind w:left="0" w:right="0" w:firstLine="720"/>
        <w:jc w:val="both"/>
        <w:rPr/>
      </w:pPr>
      <w:r>
        <w:rPr>
          <w:rFonts w:ascii="sans-serif" w:hAnsi="sans-serif"/>
          <w:b w:val="false"/>
          <w:color w:val="000000"/>
          <w:sz w:val="24"/>
        </w:rPr>
        <w:t>2.7    </w:t>
      </w:r>
      <w:r>
        <w:rPr>
          <w:rFonts w:ascii="sans-serif" w:hAnsi="sans-serif"/>
          <w:b w:val="false"/>
          <w:color w:val="000000"/>
          <w:sz w:val="24"/>
          <w:u w:val="single"/>
        </w:rPr>
        <w:t>Conditions to Delivery of Shares</w:t>
      </w:r>
      <w:r>
        <w:rPr>
          <w:rFonts w:ascii="sans-serif" w:hAnsi="sans-serif"/>
          <w:b w:val="false"/>
          <w:color w:val="000000"/>
          <w:sz w:val="24"/>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pStyle w:val="TextBody"/>
        <w:bidi w:val="0"/>
        <w:spacing w:lineRule="auto" w:line="333" w:before="0" w:after="240"/>
        <w:ind w:left="0" w:right="0" w:firstLine="720"/>
        <w:jc w:val="both"/>
        <w:rPr/>
      </w:pPr>
      <w:r>
        <w:rPr>
          <w:rFonts w:ascii="sans-serif" w:hAnsi="sans-serif"/>
          <w:b w:val="false"/>
          <w:color w:val="000000"/>
          <w:sz w:val="24"/>
        </w:rPr>
        <w:t>2.8    </w:t>
      </w:r>
      <w:r>
        <w:rPr>
          <w:rFonts w:ascii="sans-serif" w:hAnsi="sans-serif"/>
          <w:b w:val="false"/>
          <w:color w:val="000000"/>
          <w:sz w:val="24"/>
          <w:u w:val="single"/>
        </w:rPr>
        <w:t>Rights as Stockholder</w:t>
      </w:r>
      <w:r>
        <w:rPr>
          <w:rFonts w:ascii="sans-serif" w:hAnsi="sans-serif"/>
          <w:b w:val="false"/>
          <w:color w:val="000000"/>
          <w:sz w:val="24"/>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pStyle w:val="TextBody"/>
        <w:bidi w:val="0"/>
        <w:spacing w:lineRule="auto" w:line="333" w:before="0" w:after="0"/>
        <w:jc w:val="center"/>
        <w:rPr>
          <w:rFonts w:ascii="sans-serif" w:hAnsi="sans-serif"/>
          <w:b/>
          <w:color w:val="000000"/>
          <w:sz w:val="24"/>
        </w:rPr>
      </w:pPr>
      <w:r>
        <w:rPr>
          <w:rFonts w:ascii="sans-serif" w:hAnsi="sans-serif"/>
          <w:b/>
          <w:color w:val="000000"/>
          <w:sz w:val="24"/>
        </w:rPr>
        <w:t>ARTICLE III.</w:t>
      </w:r>
    </w:p>
    <w:p>
      <w:pPr>
        <w:pStyle w:val="TextBody"/>
        <w:bidi w:val="0"/>
        <w:spacing w:lineRule="auto" w:line="333" w:before="0" w:after="240"/>
        <w:jc w:val="center"/>
        <w:rPr>
          <w:rFonts w:ascii="sans-serif" w:hAnsi="sans-serif"/>
          <w:b/>
          <w:color w:val="000000"/>
          <w:sz w:val="24"/>
        </w:rPr>
      </w:pPr>
      <w:r>
        <w:rPr>
          <w:rFonts w:ascii="sans-serif" w:hAnsi="sans-serif"/>
          <w:b/>
          <w:color w:val="000000"/>
          <w:sz w:val="24"/>
        </w:rPr>
        <w:t>OTHER PROVISIONS</w:t>
      </w:r>
    </w:p>
    <w:p>
      <w:pPr>
        <w:pStyle w:val="TextBody"/>
        <w:bidi w:val="0"/>
        <w:spacing w:lineRule="auto" w:line="333" w:before="0" w:after="240"/>
        <w:ind w:left="0" w:right="0" w:firstLine="720"/>
        <w:jc w:val="both"/>
        <w:rPr/>
      </w:pPr>
      <w:r>
        <w:rPr>
          <w:rFonts w:ascii="sans-serif" w:hAnsi="sans-serif"/>
          <w:b w:val="false"/>
          <w:color w:val="000000"/>
          <w:sz w:val="24"/>
        </w:rPr>
        <w:t>3.1    </w:t>
      </w:r>
      <w:r>
        <w:rPr>
          <w:rFonts w:ascii="sans-serif" w:hAnsi="sans-serif"/>
          <w:b w:val="false"/>
          <w:color w:val="000000"/>
          <w:sz w:val="24"/>
          <w:u w:val="single"/>
        </w:rPr>
        <w:t>Administration</w:t>
      </w:r>
      <w:r>
        <w:rPr>
          <w:rFonts w:ascii="sans-serif" w:hAnsi="sans-serif"/>
          <w:b w:val="false"/>
          <w:color w:val="000000"/>
          <w:sz w:val="24"/>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RSUs. </w:t>
      </w:r>
    </w:p>
    <w:p>
      <w:pPr>
        <w:pStyle w:val="TextBody"/>
        <w:bidi w:val="0"/>
        <w:spacing w:lineRule="auto" w:line="333" w:before="0" w:after="240"/>
        <w:ind w:left="0" w:right="0" w:firstLine="720"/>
        <w:jc w:val="both"/>
        <w:rPr/>
      </w:pPr>
      <w:r>
        <w:rPr>
          <w:rFonts w:ascii="sans-serif" w:hAnsi="sans-serif"/>
          <w:b w:val="false"/>
          <w:color w:val="000000"/>
          <w:sz w:val="24"/>
        </w:rPr>
        <w:t>3.2    </w:t>
      </w:r>
      <w:r>
        <w:rPr>
          <w:rFonts w:ascii="sans-serif" w:hAnsi="sans-serif"/>
          <w:b w:val="false"/>
          <w:color w:val="000000"/>
          <w:sz w:val="24"/>
          <w:u w:val="single"/>
        </w:rPr>
        <w:t>Transferability</w:t>
      </w:r>
      <w:r>
        <w:rPr>
          <w:rFonts w:ascii="sans-serif" w:hAnsi="sans-serif"/>
          <w:b w:val="false"/>
          <w:color w:val="000000"/>
          <w:sz w:val="24"/>
        </w:rPr>
        <w:t>. The RSUs shall be subject to the restrictions on transferability set forth in Section 10.1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2560"/>
                <wp:effectExtent l="0" t="0" r="0" b="0"/>
                <wp:wrapNone/>
                <wp:docPr id="68" name="Frame6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A-3</w:t>
                      </w:r>
                    </w:p>
                  </w:txbxContent>
                </v:textbox>
                <w10:wrap type="none"/>
              </v:rect>
            </w:pict>
          </mc:Fallback>
        </mc:AlternateContent>
      </w:r>
    </w:p>
    <w:p>
      <w:pPr>
        <w:pStyle w:val="TextBody"/>
        <w:bidi w:val="0"/>
        <w:spacing w:lineRule="auto" w:line="333" w:before="0" w:after="240"/>
        <w:ind w:left="0" w:right="0" w:firstLine="720"/>
        <w:jc w:val="both"/>
        <w:rPr/>
      </w:pPr>
      <w:r>
        <w:rPr>
          <w:rFonts w:ascii="sans-serif" w:hAnsi="sans-serif"/>
          <w:b w:val="false"/>
          <w:color w:val="000000"/>
          <w:sz w:val="24"/>
        </w:rPr>
        <w:t>3.3    </w:t>
      </w:r>
      <w:r>
        <w:rPr>
          <w:rFonts w:ascii="sans-serif" w:hAnsi="sans-serif"/>
          <w:b w:val="false"/>
          <w:color w:val="000000"/>
          <w:sz w:val="24"/>
          <w:u w:val="single"/>
        </w:rPr>
        <w:t>Tax Consultation</w:t>
      </w:r>
      <w:r>
        <w:rPr>
          <w:rFonts w:ascii="sans-serif" w:hAnsi="sans-serif"/>
          <w:b w:val="false"/>
          <w:color w:val="000000"/>
          <w:sz w:val="24"/>
        </w:rPr>
        <w:t>. Participant understands that Participant may suffer adverse tax consequences in connection with the RSUs granted pursuant to this Agreement (and the Shares issuable with respect thereto). Participant represents that Participant has consulted with any tax consultants Participant deems advisable in connection with the RSUs and the issuance of Shares with respect thereto and that Participant is not relying on the Company for any tax advice.</w:t>
      </w:r>
    </w:p>
    <w:p>
      <w:pPr>
        <w:pStyle w:val="TextBody"/>
        <w:bidi w:val="0"/>
        <w:spacing w:lineRule="auto" w:line="333" w:before="0" w:after="240"/>
        <w:ind w:left="0" w:right="0" w:firstLine="720"/>
        <w:jc w:val="both"/>
        <w:rPr/>
      </w:pPr>
      <w:r>
        <w:rPr>
          <w:rFonts w:ascii="sans-serif" w:hAnsi="sans-serif"/>
          <w:b w:val="false"/>
          <w:color w:val="000000"/>
          <w:sz w:val="24"/>
        </w:rPr>
        <w:t>3.4    </w:t>
      </w:r>
      <w:r>
        <w:rPr>
          <w:rFonts w:ascii="sans-serif" w:hAnsi="sans-serif"/>
          <w:b w:val="false"/>
          <w:color w:val="000000"/>
          <w:sz w:val="24"/>
          <w:u w:val="single"/>
        </w:rPr>
        <w:t>Binding Agreement</w:t>
      </w:r>
      <w:r>
        <w:rPr>
          <w:rFonts w:ascii="sans-serif" w:hAnsi="sans-serif"/>
          <w:b w:val="false"/>
          <w:color w:val="000000"/>
          <w:sz w:val="24"/>
        </w:rPr>
        <w:t>. Subject to the limitation on the transferability of the RSUs contained herein, this Agreement will be binding upon and inure to the benefit of the heirs, legatees, legal representatives, successors and assigns of the parties hereto.</w:t>
      </w:r>
    </w:p>
    <w:p>
      <w:pPr>
        <w:pStyle w:val="TextBody"/>
        <w:bidi w:val="0"/>
        <w:spacing w:lineRule="auto" w:line="333" w:before="0" w:after="240"/>
        <w:ind w:left="0" w:right="0" w:firstLine="720"/>
        <w:jc w:val="both"/>
        <w:rPr/>
      </w:pPr>
      <w:r>
        <w:rPr>
          <w:rFonts w:ascii="sans-serif" w:hAnsi="sans-serif"/>
          <w:b w:val="false"/>
          <w:color w:val="000000"/>
          <w:sz w:val="24"/>
        </w:rPr>
        <w:t>3.5    </w:t>
      </w:r>
      <w:r>
        <w:rPr>
          <w:rFonts w:ascii="sans-serif" w:hAnsi="sans-serif"/>
          <w:b w:val="false"/>
          <w:color w:val="000000"/>
          <w:sz w:val="24"/>
          <w:u w:val="single"/>
        </w:rPr>
        <w:t>Adjustments Upon Specified Events</w:t>
      </w:r>
      <w:r>
        <w:rPr>
          <w:rFonts w:ascii="sans-serif" w:hAnsi="sans-serif"/>
          <w:b w:val="false"/>
          <w:color w:val="000000"/>
          <w:sz w:val="24"/>
        </w:rPr>
        <w:t>. The Administrator may accelerate the vesting of the RSUs in such circumstances as it, in its sole discretion, may determine. Participant acknowledges that the RSUs are subject to adjustment, modification and termination in certain events as provided in this Agreement and Article IX of the Plan.</w:t>
      </w:r>
    </w:p>
    <w:p>
      <w:pPr>
        <w:pStyle w:val="TextBody"/>
        <w:bidi w:val="0"/>
        <w:spacing w:lineRule="auto" w:line="333" w:before="0" w:after="240"/>
        <w:ind w:left="0" w:right="0" w:firstLine="720"/>
        <w:jc w:val="both"/>
        <w:rPr/>
      </w:pPr>
      <w:r>
        <w:rPr>
          <w:rFonts w:ascii="sans-serif" w:hAnsi="sans-serif"/>
          <w:b w:val="false"/>
          <w:color w:val="000000"/>
          <w:sz w:val="24"/>
        </w:rPr>
        <w:t>3.6    </w:t>
      </w:r>
      <w:r>
        <w:rPr>
          <w:rFonts w:ascii="sans-serif" w:hAnsi="sans-serif"/>
          <w:b w:val="false"/>
          <w:color w:val="000000"/>
          <w:sz w:val="24"/>
          <w:u w:val="single"/>
        </w:rPr>
        <w:t>Notices</w:t>
      </w:r>
      <w:r>
        <w:rPr>
          <w:rFonts w:ascii="sans-serif" w:hAnsi="sans-serif"/>
          <w:b w:val="false"/>
          <w:color w:val="000000"/>
          <w:sz w:val="24"/>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non-U.S. entity).</w:t>
      </w:r>
    </w:p>
    <w:p>
      <w:pPr>
        <w:pStyle w:val="TextBody"/>
        <w:bidi w:val="0"/>
        <w:spacing w:lineRule="auto" w:line="333" w:before="0" w:after="240"/>
        <w:ind w:left="0" w:right="0" w:firstLine="720"/>
        <w:jc w:val="both"/>
        <w:rPr/>
      </w:pPr>
      <w:r>
        <w:rPr>
          <w:rFonts w:ascii="sans-serif" w:hAnsi="sans-serif"/>
          <w:b w:val="false"/>
          <w:color w:val="000000"/>
          <w:sz w:val="24"/>
        </w:rPr>
        <w:t>3.7    </w:t>
      </w:r>
      <w:r>
        <w:rPr>
          <w:rFonts w:ascii="sans-serif" w:hAnsi="sans-serif"/>
          <w:b w:val="false"/>
          <w:color w:val="000000"/>
          <w:sz w:val="24"/>
          <w:u w:val="single"/>
        </w:rPr>
        <w:t>Participant’s Representations</w:t>
      </w:r>
      <w:r>
        <w:rPr>
          <w:rFonts w:ascii="sans-serif" w:hAnsi="sans-serif"/>
          <w:b w:val="false"/>
          <w:color w:val="000000"/>
          <w:sz w:val="24"/>
        </w:rPr>
        <w:t>. 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pStyle w:val="TextBody"/>
        <w:bidi w:val="0"/>
        <w:spacing w:lineRule="auto" w:line="333" w:before="0" w:after="240"/>
        <w:ind w:left="0" w:right="0" w:firstLine="720"/>
        <w:jc w:val="both"/>
        <w:rPr/>
      </w:pPr>
      <w:r>
        <w:rPr>
          <w:rFonts w:ascii="sans-serif" w:hAnsi="sans-serif"/>
          <w:b w:val="false"/>
          <w:color w:val="000000"/>
          <w:sz w:val="24"/>
        </w:rPr>
        <w:t>3.8    </w:t>
      </w:r>
      <w:r>
        <w:rPr>
          <w:rFonts w:ascii="sans-serif" w:hAnsi="sans-serif"/>
          <w:b w:val="false"/>
          <w:color w:val="000000"/>
          <w:sz w:val="24"/>
          <w:u w:val="single"/>
        </w:rPr>
        <w:t>Titles</w:t>
      </w:r>
      <w:r>
        <w:rPr>
          <w:rFonts w:ascii="sans-serif" w:hAnsi="sans-serif"/>
          <w:b w:val="false"/>
          <w:color w:val="000000"/>
          <w:sz w:val="24"/>
        </w:rPr>
        <w:t>. Titles are provided herein for convenience only and are not to serve as a basis for interpretation or construction of this Agreement.</w:t>
      </w:r>
    </w:p>
    <w:p>
      <w:pPr>
        <w:pStyle w:val="TextBody"/>
        <w:bidi w:val="0"/>
        <w:spacing w:lineRule="auto" w:line="333" w:before="0" w:after="240"/>
        <w:ind w:left="0" w:right="0" w:firstLine="720"/>
        <w:jc w:val="both"/>
        <w:rPr/>
      </w:pPr>
      <w:r>
        <w:rPr>
          <w:rFonts w:ascii="sans-serif" w:hAnsi="sans-serif"/>
          <w:b w:val="false"/>
          <w:color w:val="000000"/>
          <w:sz w:val="24"/>
        </w:rPr>
        <w:t>3.9    </w:t>
      </w:r>
      <w:r>
        <w:rPr>
          <w:rFonts w:ascii="sans-serif" w:hAnsi="sans-serif"/>
          <w:b w:val="false"/>
          <w:color w:val="000000"/>
          <w:sz w:val="24"/>
          <w:u w:val="single"/>
        </w:rPr>
        <w:t>Governing Law</w:t>
      </w:r>
      <w:r>
        <w:rPr>
          <w:rFonts w:ascii="sans-serif" w:hAnsi="sans-serif"/>
          <w:b w:val="false"/>
          <w:color w:val="000000"/>
          <w:sz w:val="24"/>
        </w:rPr>
        <w:t xml:space="preserve">. The laws of the State of Delaware shall govern the interpretation, validity, administration, enforcement 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of Delaware and of the United States of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2560"/>
                <wp:effectExtent l="0" t="0" r="0" b="0"/>
                <wp:wrapNone/>
                <wp:docPr id="69" name="Frame6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A-4</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pStyle w:val="TextBody"/>
        <w:bidi w:val="0"/>
        <w:spacing w:lineRule="auto" w:line="333" w:before="0" w:after="240"/>
        <w:ind w:left="0" w:right="0" w:firstLine="720"/>
        <w:jc w:val="both"/>
        <w:rPr/>
      </w:pPr>
      <w:r>
        <w:rPr>
          <w:rFonts w:ascii="sans-serif" w:hAnsi="sans-serif"/>
          <w:b w:val="false"/>
          <w:color w:val="000000"/>
          <w:sz w:val="24"/>
        </w:rPr>
        <w:t>3.10    </w:t>
      </w:r>
      <w:r>
        <w:rPr>
          <w:rFonts w:ascii="sans-serif" w:hAnsi="sans-serif"/>
          <w:b w:val="false"/>
          <w:color w:val="000000"/>
          <w:sz w:val="24"/>
          <w:u w:val="single"/>
        </w:rPr>
        <w:t>Conformity to Securities Laws</w:t>
      </w:r>
      <w:r>
        <w:rPr>
          <w:rFonts w:ascii="sans-serif" w:hAnsi="sans-serif"/>
          <w:b w:val="false"/>
          <w:color w:val="000000"/>
          <w:sz w:val="24"/>
        </w:rPr>
        <w:t>.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lineRule="auto" w:line="333" w:before="0" w:after="240"/>
        <w:ind w:left="0" w:right="0" w:firstLine="720"/>
        <w:jc w:val="both"/>
        <w:rPr/>
      </w:pPr>
      <w:r>
        <w:rPr>
          <w:rFonts w:ascii="sans-serif" w:hAnsi="sans-serif"/>
          <w:b w:val="false"/>
          <w:color w:val="000000"/>
          <w:sz w:val="24"/>
        </w:rPr>
        <w:t>3.11    </w:t>
      </w:r>
      <w:r>
        <w:rPr>
          <w:rFonts w:ascii="sans-serif" w:hAnsi="sans-serif"/>
          <w:b w:val="false"/>
          <w:color w:val="000000"/>
          <w:sz w:val="24"/>
          <w:u w:val="single"/>
        </w:rPr>
        <w:t>Amendment, Suspension and Termination</w:t>
      </w:r>
      <w:r>
        <w:rPr>
          <w:rFonts w:ascii="sans-serif" w:hAnsi="sans-serif"/>
          <w:b w:val="false"/>
          <w:color w:val="000000"/>
          <w:sz w:val="24"/>
        </w:rPr>
        <w:t xml:space="preserve">. To the extent permitted by the Plan, this Agreement may be wholly or partially amended or otherwise modified, suspended or terminated at any time or from time to time by the Administrator or the Board; </w:t>
      </w:r>
      <w:r>
        <w:rPr>
          <w:rFonts w:ascii="sans-serif" w:hAnsi="sans-serif"/>
          <w:b w:val="false"/>
          <w:i/>
          <w:color w:val="000000"/>
          <w:sz w:val="24"/>
        </w:rPr>
        <w:t>provided, however,</w:t>
      </w:r>
      <w:r>
        <w:rPr>
          <w:color w:val="000000"/>
        </w:rPr>
        <w:t xml:space="preserve"> </w:t>
      </w:r>
      <w:r>
        <w:rPr>
          <w:rFonts w:ascii="sans-serif" w:hAnsi="sans-serif"/>
          <w:b w:val="false"/>
          <w:color w:val="000000"/>
          <w:sz w:val="24"/>
        </w:rPr>
        <w:t>that, except as may otherwise be provided by the Plan, no amendment, modification, suspension or termination of this Agreement shall adversely affect the RSUs in any material way without the prior written consent of Participant.</w:t>
      </w:r>
    </w:p>
    <w:p>
      <w:pPr>
        <w:pStyle w:val="TextBody"/>
        <w:bidi w:val="0"/>
        <w:spacing w:lineRule="auto" w:line="333" w:before="0" w:after="240"/>
        <w:ind w:left="0" w:right="0" w:firstLine="720"/>
        <w:jc w:val="both"/>
        <w:rPr/>
      </w:pPr>
      <w:r>
        <w:rPr>
          <w:rFonts w:ascii="sans-serif" w:hAnsi="sans-serif"/>
          <w:b w:val="false"/>
          <w:color w:val="000000"/>
          <w:sz w:val="24"/>
        </w:rPr>
        <w:t>3.12    </w:t>
      </w:r>
      <w:r>
        <w:rPr>
          <w:rFonts w:ascii="sans-serif" w:hAnsi="sans-serif"/>
          <w:b w:val="false"/>
          <w:color w:val="000000"/>
          <w:sz w:val="24"/>
          <w:u w:val="single"/>
        </w:rPr>
        <w:t>Successors and Assigns</w:t>
      </w:r>
      <w:r>
        <w:rPr>
          <w:rFonts w:ascii="sans-serif" w:hAnsi="sans-serif"/>
          <w:b w:val="false"/>
          <w:color w:val="000000"/>
          <w:sz w:val="24"/>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3.2 hereof, this Agreement shall be binding upon Participant and his or her heirs, executors, administrators, successors and assigns.</w:t>
      </w:r>
    </w:p>
    <w:p>
      <w:pPr>
        <w:pStyle w:val="TextBody"/>
        <w:bidi w:val="0"/>
        <w:spacing w:lineRule="auto" w:line="333" w:before="0" w:after="240"/>
        <w:ind w:left="0" w:right="0" w:firstLine="720"/>
        <w:jc w:val="both"/>
        <w:rPr/>
      </w:pPr>
      <w:r>
        <w:rPr>
          <w:rFonts w:ascii="sans-serif" w:hAnsi="sans-serif"/>
          <w:b w:val="false"/>
          <w:color w:val="000000"/>
          <w:sz w:val="24"/>
        </w:rPr>
        <w:t>3.13    </w:t>
      </w:r>
      <w:r>
        <w:rPr>
          <w:rFonts w:ascii="sans-serif" w:hAnsi="sans-serif"/>
          <w:b w:val="false"/>
          <w:color w:val="000000"/>
          <w:sz w:val="24"/>
          <w:u w:val="single"/>
        </w:rPr>
        <w:t>Limitations Applicable to Section 16 Persons</w:t>
      </w:r>
      <w:r>
        <w:rPr>
          <w:rFonts w:ascii="sans-serif" w:hAnsi="sans-serif"/>
          <w:b w:val="false"/>
          <w:color w:val="000000"/>
          <w:sz w:val="24"/>
        </w:rPr>
        <w:t xml:space="preserve">. Notwithstanding any other provision of the Plan or this Agreement, if Participant is subject to Section 16 of the Exchange Act, then the Plan, the RSUs and this Agreement shall be subject to any additional limitations set forth in any applicable exemptive rule under Section 16 of the Exchange Act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2560"/>
                <wp:effectExtent l="0" t="0" r="0" b="0"/>
                <wp:wrapNone/>
                <wp:docPr id="70" name="Frame6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A-5</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333" w:before="0" w:after="240"/>
        <w:ind w:left="0" w:right="0" w:firstLine="720"/>
        <w:jc w:val="both"/>
        <w:rPr/>
      </w:pPr>
      <w:r>
        <w:rPr>
          <w:rFonts w:ascii="sans-serif" w:hAnsi="sans-serif"/>
          <w:b w:val="false"/>
          <w:color w:val="000000"/>
          <w:sz w:val="24"/>
        </w:rPr>
        <w:t>3.14    </w:t>
      </w:r>
      <w:r>
        <w:rPr>
          <w:rFonts w:ascii="sans-serif" w:hAnsi="sans-serif"/>
          <w:b w:val="false"/>
          <w:color w:val="000000"/>
          <w:sz w:val="24"/>
          <w:u w:val="single"/>
        </w:rPr>
        <w:t>Not a Contract of Service Relationship</w:t>
      </w:r>
      <w:r>
        <w:rPr>
          <w:rFonts w:ascii="sans-serif" w:hAnsi="sans-serif"/>
          <w:b w:val="false"/>
          <w:color w:val="000000"/>
          <w:sz w:val="24"/>
        </w:rPr>
        <w:t>.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employment or services of Participant at any time for any reason whatsoever, with or without Cause, except to the extent expressly provided otherwise by Applicable Law or in a written agreement between the Company or a Subsidiary (as applicable) and Participant.</w:t>
      </w:r>
    </w:p>
    <w:p>
      <w:pPr>
        <w:pStyle w:val="TextBody"/>
        <w:bidi w:val="0"/>
        <w:spacing w:lineRule="auto" w:line="333" w:before="0" w:after="240"/>
        <w:ind w:left="0" w:right="0" w:firstLine="720"/>
        <w:jc w:val="both"/>
        <w:rPr/>
      </w:pPr>
      <w:r>
        <w:rPr>
          <w:rFonts w:ascii="sans-serif" w:hAnsi="sans-serif"/>
          <w:b w:val="false"/>
          <w:color w:val="000000"/>
          <w:sz w:val="24"/>
        </w:rPr>
        <w:t>3.15    </w:t>
      </w:r>
      <w:r>
        <w:rPr>
          <w:rFonts w:ascii="sans-serif" w:hAnsi="sans-serif"/>
          <w:b w:val="false"/>
          <w:color w:val="000000"/>
          <w:sz w:val="24"/>
          <w:u w:val="single"/>
        </w:rPr>
        <w:t>Entire Agreement</w:t>
      </w:r>
      <w:r>
        <w:rPr>
          <w:rFonts w:ascii="sans-serif" w:hAnsi="sans-serif"/>
          <w:b w:val="false"/>
          <w:color w:val="000000"/>
          <w:sz w:val="24"/>
        </w:rPr>
        <w:t xml:space="preserve">. The Plan, the Grant Notice and this Agreement (including the Country Provisions) constitute the entire agreement of the parties and supersede in their entirety all prior undertakings and agreements of the Company and Participant with respect to the subject matter hereof, </w:t>
      </w:r>
      <w:r>
        <w:rPr>
          <w:rFonts w:ascii="sans-serif" w:hAnsi="sans-serif"/>
          <w:b w:val="false"/>
          <w:i/>
          <w:color w:val="000000"/>
          <w:sz w:val="24"/>
        </w:rPr>
        <w:t>provided</w:t>
      </w:r>
      <w:r>
        <w:rPr>
          <w:color w:val="000000"/>
        </w:rPr>
        <w:t xml:space="preserve"> </w:t>
      </w:r>
      <w:r>
        <w:rPr>
          <w:rFonts w:ascii="sans-serif" w:hAnsi="sans-serif"/>
          <w:b w:val="false"/>
          <w:color w:val="000000"/>
          <w:sz w:val="24"/>
        </w:rPr>
        <w:t xml:space="preserve">that the RSUs shall be subject to any accelerated vesting provisions in any written agreement between Participant and the Company (or any Subsidiary who is the employer of Participant) or a Company plan pursuant to which Participant is eligible to participate, in each case, in accordance with the terms therein. </w:t>
      </w:r>
    </w:p>
    <w:p>
      <w:pPr>
        <w:pStyle w:val="TextBody"/>
        <w:bidi w:val="0"/>
        <w:spacing w:lineRule="auto" w:line="333" w:before="0" w:after="240"/>
        <w:ind w:left="0" w:right="0" w:firstLine="720"/>
        <w:jc w:val="both"/>
        <w:rPr/>
      </w:pPr>
      <w:r>
        <w:rPr>
          <w:rFonts w:ascii="sans-serif" w:hAnsi="sans-serif"/>
          <w:b w:val="false"/>
          <w:color w:val="000000"/>
          <w:sz w:val="24"/>
        </w:rPr>
        <w:t>3.16    </w:t>
      </w:r>
      <w:r>
        <w:rPr>
          <w:rFonts w:ascii="sans-serif" w:hAnsi="sans-serif"/>
          <w:b w:val="false"/>
          <w:color w:val="000000"/>
          <w:sz w:val="24"/>
          <w:u w:val="single"/>
        </w:rPr>
        <w:t>Section 409A</w:t>
      </w:r>
      <w:r>
        <w:rPr>
          <w:rFonts w:ascii="sans-serif" w:hAnsi="sans-serif"/>
          <w:b w:val="false"/>
          <w:color w:val="000000"/>
          <w:sz w:val="24"/>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sans-serif" w:hAnsi="sans-serif"/>
          <w:b/>
          <w:i/>
          <w:color w:val="000000"/>
          <w:sz w:val="24"/>
        </w:rPr>
        <w:t>Section 409A</w:t>
      </w:r>
      <w:r>
        <w:rPr>
          <w:color w:val="000000"/>
        </w:rPr>
        <w:t>”</w:t>
      </w:r>
      <w:r>
        <w:rPr>
          <w:rFonts w:ascii="sans-serif" w:hAnsi="sans-serif"/>
          <w:b w:val="false"/>
          <w:color w:val="000000"/>
          <w:sz w:val="24"/>
        </w:rPr>
        <w:t xml:space="preserve">).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lineRule="auto" w:line="333" w:before="0" w:after="240"/>
        <w:ind w:left="0" w:right="0" w:firstLine="720"/>
        <w:jc w:val="both"/>
        <w:rPr/>
      </w:pPr>
      <w:r>
        <w:rPr>
          <w:rFonts w:ascii="sans-serif" w:hAnsi="sans-serif"/>
          <w:b w:val="false"/>
          <w:color w:val="000000"/>
          <w:sz w:val="24"/>
        </w:rPr>
        <w:t>3.17    </w:t>
      </w:r>
      <w:r>
        <w:rPr>
          <w:rFonts w:ascii="sans-serif" w:hAnsi="sans-serif"/>
          <w:b w:val="false"/>
          <w:color w:val="000000"/>
          <w:sz w:val="24"/>
          <w:u w:val="single"/>
        </w:rPr>
        <w:t>Limitation on Participant’s Rights</w:t>
      </w:r>
      <w:r>
        <w:rPr>
          <w:rFonts w:ascii="sans-serif" w:hAnsi="sans-serif"/>
          <w:b w:val="false"/>
          <w:color w:val="000000"/>
          <w:sz w:val="24"/>
        </w:rPr>
        <w:t xml:space="preserve">.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RSUs, and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2560"/>
                <wp:effectExtent l="0" t="0" r="0" b="0"/>
                <wp:wrapNone/>
                <wp:docPr id="71" name="Frame6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A-6</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rights no greater than the right to receive the Shares as a general unsecured creditor with respect to RSUs, as and when payable hereunder. </w:t>
      </w:r>
    </w:p>
    <w:p>
      <w:pPr>
        <w:pStyle w:val="TextBody"/>
        <w:bidi w:val="0"/>
        <w:spacing w:lineRule="auto" w:line="333" w:before="0" w:after="240"/>
        <w:ind w:left="0" w:right="0" w:firstLine="720"/>
        <w:jc w:val="both"/>
        <w:rPr/>
      </w:pPr>
      <w:r>
        <w:rPr>
          <w:rFonts w:ascii="sans-serif" w:hAnsi="sans-serif"/>
          <w:b w:val="false"/>
          <w:color w:val="000000"/>
          <w:sz w:val="24"/>
        </w:rPr>
        <w:t>3.18    </w:t>
      </w:r>
      <w:r>
        <w:rPr>
          <w:rFonts w:ascii="sans-serif" w:hAnsi="sans-serif"/>
          <w:b w:val="false"/>
          <w:color w:val="000000"/>
          <w:sz w:val="24"/>
          <w:u w:val="single"/>
        </w:rPr>
        <w:t>Rules Particular To Specific Countries</w:t>
      </w:r>
      <w:r>
        <w:rPr>
          <w:rFonts w:ascii="sans-serif" w:hAnsi="sans-serif"/>
          <w:b w:val="false"/>
          <w:color w:val="000000"/>
          <w:sz w:val="24"/>
        </w:rPr>
        <w:t xml:space="preserve">. </w:t>
      </w:r>
    </w:p>
    <w:p>
      <w:pPr>
        <w:pStyle w:val="TextBody"/>
        <w:bidi w:val="0"/>
        <w:spacing w:lineRule="auto" w:line="333" w:before="0" w:after="240"/>
        <w:ind w:left="0" w:right="0" w:firstLine="1440"/>
        <w:jc w:val="both"/>
        <w:rPr/>
      </w:pPr>
      <w:r>
        <w:rPr>
          <w:rFonts w:ascii="sans-serif" w:hAnsi="sans-serif"/>
          <w:b w:val="false"/>
          <w:color w:val="000000"/>
          <w:sz w:val="22"/>
        </w:rPr>
        <w:t>(a)    </w:t>
      </w:r>
      <w:r>
        <w:rPr>
          <w:rFonts w:ascii="sans-serif" w:hAnsi="sans-serif"/>
          <w:b w:val="false"/>
          <w:i/>
          <w:color w:val="000000"/>
          <w:sz w:val="24"/>
        </w:rPr>
        <w:t>Generally</w:t>
      </w:r>
      <w:r>
        <w:rPr>
          <w:rFonts w:ascii="sans-serif" w:hAnsi="sans-serif"/>
          <w:b w:val="false"/>
          <w:color w:val="000000"/>
          <w:sz w:val="24"/>
        </w:rPr>
        <w:t>. Participant shall, if required by the Administrator, enter into an election with the Company or a Subsidiary (in a form approved by the Company) under which any liability to the Company’s (or a Subsidiary’s) Tax-Related Items, including, but not limited to, National Insurance Contributions (“</w:t>
      </w:r>
      <w:r>
        <w:rPr>
          <w:rFonts w:ascii="sans-serif" w:hAnsi="sans-serif"/>
          <w:b/>
          <w:i/>
          <w:color w:val="000000"/>
          <w:sz w:val="24"/>
        </w:rPr>
        <w:t>NICs</w:t>
      </w:r>
      <w:r>
        <w:rPr>
          <w:color w:val="000000"/>
        </w:rPr>
        <w:t>”</w:t>
      </w:r>
      <w:r>
        <w:rPr>
          <w:rFonts w:ascii="sans-serif" w:hAnsi="sans-serif"/>
          <w:b w:val="false"/>
          <w:color w:val="000000"/>
          <w:sz w:val="24"/>
        </w:rPr>
        <w:t xml:space="preserve">) and the Fringe Benefit Tax, is transferred to and met by Participant. </w:t>
      </w:r>
    </w:p>
    <w:p>
      <w:pPr>
        <w:pStyle w:val="TextBody"/>
        <w:bidi w:val="0"/>
        <w:spacing w:lineRule="auto" w:line="333" w:before="0" w:after="240"/>
        <w:ind w:left="0" w:right="0" w:firstLine="1440"/>
        <w:jc w:val="both"/>
        <w:rPr/>
      </w:pPr>
      <w:r>
        <w:rPr>
          <w:rFonts w:ascii="sans-serif" w:hAnsi="sans-serif"/>
          <w:b w:val="false"/>
          <w:color w:val="000000"/>
          <w:sz w:val="22"/>
        </w:rPr>
        <w:t>(b)    </w:t>
      </w:r>
      <w:r>
        <w:rPr>
          <w:rFonts w:ascii="sans-serif" w:hAnsi="sans-serif"/>
          <w:b w:val="false"/>
          <w:i/>
          <w:color w:val="000000"/>
          <w:sz w:val="24"/>
        </w:rPr>
        <w:t>Tax Indemnity</w:t>
      </w:r>
      <w:r>
        <w:rPr>
          <w:rFonts w:ascii="sans-serif" w:hAnsi="sans-serif"/>
          <w:b w:val="false"/>
          <w:color w:val="000000"/>
          <w:sz w:val="24"/>
        </w:rPr>
        <w:t>. Participant shall indemnify and keep indemnified the Company and any of its subsidiaries from and against any Tax-Related Items.</w:t>
      </w:r>
    </w:p>
    <w:p>
      <w:pPr>
        <w:pStyle w:val="TextBody"/>
        <w:bidi w:val="0"/>
        <w:spacing w:lineRule="auto" w:line="333" w:before="0" w:after="240"/>
        <w:ind w:left="0" w:right="0" w:firstLine="900"/>
        <w:jc w:val="both"/>
        <w:rPr/>
      </w:pPr>
      <w:r>
        <w:rPr>
          <w:rFonts w:ascii="sans-serif" w:hAnsi="sans-serif"/>
          <w:b w:val="false"/>
          <w:color w:val="000000"/>
          <w:sz w:val="24"/>
        </w:rPr>
        <w:t>3.19    </w:t>
      </w:r>
      <w:r>
        <w:rPr>
          <w:rFonts w:ascii="sans-serif" w:hAnsi="sans-serif"/>
          <w:b w:val="false"/>
          <w:color w:val="000000"/>
          <w:sz w:val="24"/>
          <w:u w:val="single"/>
        </w:rPr>
        <w:t>Special Country Provisions for RSUs Granted to Participants</w:t>
      </w:r>
      <w:r>
        <w:rPr>
          <w:rFonts w:ascii="sans-serif" w:hAnsi="sans-serif"/>
          <w:b w:val="false"/>
          <w:color w:val="000000"/>
          <w:sz w:val="24"/>
        </w:rPr>
        <w:t>. The RSUs shall be subject to the Country Provisions, if any, for Participant’s country of residence, as set forth in the Country Provisions. If Participant relocates to one of the countries included in the Country Provisions during the life of the RSUs, the special provisions for such country shall apply to Participant, to the extent the Company determines that the application of such provisions is necessary or advisable in order to comply with local law or facilitate the administration of the Plan. The Company reserves the right to impose other requirements on the RSUs and the Shares issuable upon settlement of the RSUs,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pStyle w:val="TextBody"/>
        <w:bidi w:val="0"/>
        <w:spacing w:lineRule="auto" w:line="333" w:before="0" w:after="240"/>
        <w:jc w:val="center"/>
        <w:rPr>
          <w:rFonts w:ascii="sans-serif" w:hAnsi="sans-serif"/>
          <w:b w:val="false"/>
          <w:color w:val="000000"/>
          <w:sz w:val="24"/>
        </w:rPr>
      </w:pPr>
      <w:r>
        <w:rPr>
          <w:rFonts w:ascii="sans-serif" w:hAnsi="sans-serif"/>
          <w:b w:val="false"/>
          <w:color w:val="000000"/>
          <w:sz w:val="24"/>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2560"/>
                <wp:effectExtent l="0" t="0" r="0" b="0"/>
                <wp:wrapNone/>
                <wp:docPr id="72" name="Frame7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A-7</w:t>
                      </w:r>
                    </w:p>
                  </w:txbxContent>
                </v:textbox>
                <w10:wrap type="none"/>
              </v:rect>
            </w:pict>
          </mc:Fallback>
        </mc:AlternateContent>
      </w:r>
    </w:p>
    <w:p>
      <w:pPr>
        <w:pStyle w:val="TextBody"/>
        <w:bidi w:val="0"/>
        <w:spacing w:lineRule="auto" w:line="333" w:before="0" w:after="60"/>
        <w:jc w:val="center"/>
        <w:rPr>
          <w:rFonts w:ascii="sans-serif" w:hAnsi="sans-serif"/>
          <w:b/>
          <w:color w:val="000000"/>
          <w:sz w:val="24"/>
        </w:rPr>
      </w:pPr>
      <w:r>
        <w:rPr>
          <w:rFonts w:ascii="sans-serif" w:hAnsi="sans-serif"/>
          <w:b/>
          <w:color w:val="000000"/>
          <w:sz w:val="24"/>
        </w:rPr>
        <w:t>APPENDIX</w:t>
      </w:r>
    </w:p>
    <w:p>
      <w:pPr>
        <w:pStyle w:val="TextBody"/>
        <w:bidi w:val="0"/>
        <w:spacing w:lineRule="auto" w:line="333" w:before="0" w:after="0"/>
        <w:jc w:val="center"/>
        <w:rPr>
          <w:rFonts w:ascii="sans-serif" w:hAnsi="sans-serif"/>
          <w:b/>
          <w:color w:val="000000"/>
          <w:sz w:val="24"/>
        </w:rPr>
      </w:pPr>
      <w:r>
        <w:rPr>
          <w:rFonts w:ascii="sans-serif" w:hAnsi="sans-serif"/>
          <w:b/>
          <w:color w:val="000000"/>
          <w:sz w:val="24"/>
        </w:rPr>
        <w:t>TO</w:t>
      </w:r>
    </w:p>
    <w:p>
      <w:pPr>
        <w:pStyle w:val="TextBody"/>
        <w:bidi w:val="0"/>
        <w:spacing w:lineRule="auto" w:line="333" w:before="0" w:after="360"/>
        <w:jc w:val="center"/>
        <w:rPr>
          <w:rFonts w:ascii="sans-serif" w:hAnsi="sans-serif"/>
          <w:b/>
          <w:color w:val="000000"/>
          <w:sz w:val="24"/>
        </w:rPr>
      </w:pPr>
      <w:r>
        <w:rPr>
          <w:rFonts w:ascii="sans-serif" w:hAnsi="sans-serif"/>
          <w:b/>
          <w:color w:val="000000"/>
          <w:sz w:val="24"/>
        </w:rPr>
        <w:t>RESTRICTED STOCK UNIT AWARD AGREEMENT</w:t>
      </w:r>
    </w:p>
    <w:p>
      <w:pPr>
        <w:pStyle w:val="TextBody"/>
        <w:bidi w:val="0"/>
        <w:spacing w:lineRule="auto" w:line="333" w:before="0" w:after="240"/>
        <w:jc w:val="center"/>
        <w:rPr>
          <w:rFonts w:ascii="sans-serif" w:hAnsi="sans-serif"/>
          <w:b/>
          <w:color w:val="000000"/>
          <w:sz w:val="24"/>
        </w:rPr>
      </w:pPr>
      <w:r>
        <w:rPr>
          <w:rFonts w:ascii="sans-serif" w:hAnsi="sans-serif"/>
          <w:b/>
          <w:color w:val="000000"/>
          <w:sz w:val="24"/>
        </w:rPr>
        <w:t>Special Country Provisions for RSUs for Participants</w:t>
      </w:r>
    </w:p>
    <w:p>
      <w:pPr>
        <w:pStyle w:val="TextBody"/>
        <w:bidi w:val="0"/>
        <w:spacing w:lineRule="auto" w:line="333" w:before="0" w:after="240"/>
        <w:jc w:val="both"/>
        <w:rPr/>
      </w:pPr>
      <w:r>
        <w:rPr>
          <w:rFonts w:ascii="sans-serif" w:hAnsi="sans-serif"/>
          <w:b w:val="false"/>
          <w:color w:val="000000"/>
          <w:sz w:val="24"/>
        </w:rPr>
        <w:t>This Appendix includes special terms and conditions applicable to Participants in the countries below. These terms and conditions are in addition to those set forth in the Restricted Stock Unit Agreement (the “</w:t>
      </w:r>
      <w:r>
        <w:rPr>
          <w:rFonts w:ascii="sans-serif" w:hAnsi="sans-serif"/>
          <w:b/>
          <w:i/>
          <w:color w:val="000000"/>
          <w:sz w:val="24"/>
        </w:rPr>
        <w:t>Agreement</w:t>
      </w:r>
      <w:r>
        <w:rPr>
          <w:color w:val="000000"/>
        </w:rPr>
        <w:t>”</w:t>
      </w:r>
      <w:r>
        <w:rPr>
          <w:rFonts w:ascii="sans-serif" w:hAnsi="sans-serif"/>
          <w:b w:val="false"/>
          <w:color w:val="000000"/>
          <w:sz w:val="24"/>
        </w:rPr>
        <w:t>), Restricted Stock Unit Grant Notice to which the Agreement is attached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r>
        <w:rPr>
          <w:color w:val="000000"/>
          <w:u w:val="single"/>
        </w:rPr>
        <w:t xml:space="preserve"> </w:t>
      </w:r>
    </w:p>
    <w:p>
      <w:pPr>
        <w:pStyle w:val="TextBody"/>
        <w:bidi w:val="0"/>
        <w:spacing w:lineRule="auto" w:line="333" w:before="0" w:after="460"/>
        <w:jc w:val="left"/>
        <w:rPr>
          <w:rFonts w:ascii="sans-serif" w:hAnsi="sans-serif"/>
          <w:b w:val="false"/>
          <w:color w:val="000000"/>
          <w:sz w:val="24"/>
        </w:rPr>
      </w:pPr>
      <w:r>
        <w:rPr>
          <w:rFonts w:ascii="sans-serif" w:hAnsi="sans-serif"/>
          <w:b w:val="false"/>
          <w:color w:val="000000"/>
          <w:sz w:val="24"/>
        </w:rPr>
        <w:t>In accepting the RSUs, Participant acknowledges, understands and agrees that:</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(a)the Plan is established voluntarily by the Company, it is discretionary in nature, and may be amended, suspended or terminated by the Company at any time, to the extent permitted by the Plan;</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(b)the grant of the RSUs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(c)all decisions with respect to future restricted stock units or other grants, if any, will be at the sole discretion of the Company;</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(d)the grant of RSUs and Participant’s participation in the Plan shall not create a right to employment or be interpreted as forming an employment or service contract with the Company, or, if different, Participant’s employer, or any Subsidiary or parent or affiliate of the Company, and shall not interfere with the ability of the Company, the employer or any Subsidiary or parent or affiliate of the Company, as applicable, to provide for a termination of Participant’s service;</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(e)Participant is voluntarily participating in the Plan;</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(f)the RSUs and any Shares acquired under the Plan are not intended to replace any pension rights or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2560"/>
                <wp:effectExtent l="0" t="0" r="0" b="0"/>
                <wp:wrapNone/>
                <wp:docPr id="73" name="Frame7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w:t>
                      </w:r>
                    </w:p>
                  </w:txbxContent>
                </v:textbox>
                <w10:wrap type="none"/>
              </v:rect>
            </w:pict>
          </mc:Fallback>
        </mc:AlternateConten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(g)for labor law purposes, the RSUs and any Shares acquired under the Plan and the income and value of same are not part of normal or expected, wages, salary or other compensation for any purpose, including, without limitation, calculating any severance, resignation, termination, redundancy, dismissal, end-of-service payments, bonuses, holiday pay, long-service awards, pension or retirement or welfare benefits or similar payments and in no event should be considered as compensation for, or relating in any way to, past services for the Company, any Subsidiary, Participant’s employer, its parent, or any affiliate of the Company;</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 xml:space="preserve">(h)the future value of the Shares underlying the RSUs is unknown, indeterminable, and cannot be predicted with certainty; </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 xml:space="preserve">(i)the value of the Shares acquired upon vesting of the RSUs may increase or decrease in value; </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 xml:space="preserve">(j)the RSUs and the Common Stock subject to the RSUs are not intended to replace any pension rights or compensation; </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(k)neither the Company, the employer nor any parent, Subsidiary or affiliate of the Company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pursuant to the RSUs; and</w:t>
      </w:r>
    </w:p>
    <w:p>
      <w:pPr>
        <w:pStyle w:val="TextBody"/>
        <w:bidi w:val="0"/>
        <w:spacing w:lineRule="auto" w:line="333" w:before="0" w:after="240"/>
        <w:ind w:left="0" w:right="0" w:hanging="720"/>
        <w:jc w:val="both"/>
        <w:rPr>
          <w:rFonts w:ascii="sans-serif" w:hAnsi="sans-serif"/>
          <w:b w:val="false"/>
          <w:color w:val="000000"/>
          <w:sz w:val="24"/>
        </w:rPr>
      </w:pPr>
      <w:r>
        <w:rPr>
          <w:rFonts w:ascii="sans-serif" w:hAnsi="sans-serif"/>
          <w:b w:val="false"/>
          <w:color w:val="000000"/>
          <w:sz w:val="24"/>
        </w:rPr>
        <w:t>(l)nothing in the Plan or this Agreement shall give the Participant any rights to compensation or damages including, without limitation, for any loss or potential loss that the Participant may suffer by reason of the cancellation and forfeiture of the RSUs as a result of the Participant’s Termination of Service including where any termination is subsequently held to be wrongful or unfair.</w:t>
      </w:r>
    </w:p>
    <w:p>
      <w:pPr>
        <w:pStyle w:val="TextBody"/>
        <w:bidi w:val="0"/>
        <w:spacing w:lineRule="auto" w:line="333" w:before="0" w:after="240"/>
        <w:jc w:val="both"/>
        <w:rPr/>
      </w:pPr>
      <w:r>
        <w:rPr>
          <w:rFonts w:ascii="sans-serif" w:hAnsi="sans-serif"/>
          <w:b/>
          <w:color w:val="000000"/>
          <w:sz w:val="24"/>
          <w:u w:val="single"/>
        </w:rPr>
        <w:t>Securities Law Notice</w:t>
      </w:r>
      <w:r>
        <w:rPr>
          <w:rFonts w:ascii="sans-serif" w:hAnsi="sans-serif"/>
          <w:b/>
          <w:color w:val="000000"/>
          <w:sz w:val="24"/>
        </w:rPr>
        <w:t>:</w:t>
      </w:r>
      <w:r>
        <w:rPr>
          <w:color w:val="000000"/>
        </w:rPr>
        <w:t xml:space="preserve"> </w:t>
      </w:r>
      <w:r>
        <w:rPr>
          <w:rFonts w:ascii="sans-serif" w:hAnsi="sans-serif"/>
          <w:b w:val="false"/>
          <w:color w:val="000000"/>
          <w:sz w:val="24"/>
        </w:rPr>
        <w:t>Unless otherwise noted, neither the Company nor the Shares are registered with any local stock exchange or under the control of any local securities regulator 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2560"/>
                <wp:effectExtent l="0" t="0" r="0" b="0"/>
                <wp:wrapNone/>
                <wp:docPr id="74" name="Frame7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w:t>
                      </w:r>
                    </w:p>
                  </w:txbxContent>
                </v:textbox>
                <w10:wrap type="none"/>
              </v:rect>
            </w:pict>
          </mc:Fallback>
        </mc:AlternateConten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General Provisions</w:t>
      </w:r>
    </w:p>
    <w:p>
      <w:pPr>
        <w:pStyle w:val="TextBody"/>
        <w:bidi w:val="0"/>
        <w:spacing w:lineRule="auto" w:line="333" w:before="0" w:after="240"/>
        <w:jc w:val="both"/>
        <w:rPr/>
      </w:pPr>
      <w:r>
        <w:rPr>
          <w:rFonts w:ascii="sans-serif" w:hAnsi="sans-serif"/>
          <w:b/>
          <w:color w:val="000000"/>
          <w:sz w:val="24"/>
          <w:u w:val="single"/>
        </w:rPr>
        <w:t>Data Privacy</w:t>
      </w:r>
      <w:r>
        <w:rPr>
          <w:rFonts w:ascii="sans-serif" w:hAnsi="sans-serif"/>
          <w:b/>
          <w:color w:val="000000"/>
          <w:sz w:val="24"/>
        </w:rPr>
        <w:t>. Participant acknowledges and agrees to the data privacy provisions set forth in Section 11.8 of the Plan.</w:t>
      </w:r>
    </w:p>
    <w:p>
      <w:pPr>
        <w:pStyle w:val="TextBody"/>
        <w:bidi w:val="0"/>
        <w:spacing w:lineRule="auto" w:line="333" w:before="0" w:after="240"/>
        <w:jc w:val="both"/>
        <w:rPr/>
      </w:pPr>
      <w:r>
        <w:rPr>
          <w:rFonts w:ascii="sans-serif" w:hAnsi="sans-serif"/>
          <w:b/>
          <w:color w:val="000000"/>
          <w:sz w:val="24"/>
          <w:u w:val="single"/>
        </w:rPr>
        <w:t>Notifications</w:t>
      </w:r>
      <w:r>
        <w:rPr>
          <w:rFonts w:ascii="sans-serif" w:hAnsi="sans-serif"/>
          <w:b w:val="false"/>
          <w:color w:val="000000"/>
          <w:sz w:val="24"/>
          <w:u w:val="single"/>
        </w:rPr>
        <w:t>.</w:t>
      </w:r>
      <w:r>
        <w:rPr>
          <w:color w:val="000000"/>
          <w:u w:val="single"/>
        </w:rPr>
        <w:t xml:space="preserve"> </w:t>
      </w:r>
      <w:r>
        <w:rPr>
          <w:rFonts w:ascii="sans-serif" w:hAnsi="sans-serif"/>
          <w:b w:val="false"/>
          <w:color w:val="000000"/>
          <w:sz w:val="24"/>
        </w:rPr>
        <w:t>This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 [____] 2026. Such laws are often complex and change frequently. As a result, the Company strongly recommends that Participant not rely on the information herein as the only source of information relating to the consequences of participation in the Plan because the information may be out of date at the time the RSUs vest or Shares acquired under the Plan are sold. 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pStyle w:val="TextBody"/>
        <w:bidi w:val="0"/>
        <w:spacing w:lineRule="auto" w:line="333" w:before="0" w:after="240"/>
        <w:jc w:val="both"/>
        <w:rPr/>
      </w:pPr>
      <w:r>
        <w:rPr>
          <w:rFonts w:ascii="sans-serif" w:hAnsi="sans-serif"/>
          <w:b/>
          <w:color w:val="000000"/>
          <w:sz w:val="24"/>
          <w:u w:val="single"/>
        </w:rPr>
        <w:t>English Language</w:t>
      </w:r>
      <w:r>
        <w:rPr>
          <w:rFonts w:ascii="sans-serif" w:hAnsi="sans-serif"/>
          <w:b w:val="false"/>
          <w:color w:val="000000"/>
          <w:sz w:val="24"/>
        </w:rPr>
        <w:t>. By participating in the Plan, Participant acknowledges that Participant is proficient in the English language, or has consulted with an advisor who is sufficiently 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333" w:before="0" w:after="240"/>
        <w:jc w:val="both"/>
        <w:rPr/>
      </w:pPr>
      <w:r>
        <w:rPr>
          <w:rFonts w:ascii="sans-serif" w:hAnsi="sans-serif"/>
          <w:b/>
          <w:color w:val="000000"/>
          <w:sz w:val="24"/>
          <w:u w:val="single"/>
        </w:rPr>
        <w:t>Currency</w:t>
      </w:r>
      <w:r>
        <w:rPr>
          <w:rFonts w:ascii="sans-serif" w:hAnsi="sans-serif"/>
          <w:b w:val="false"/>
          <w:color w:val="000000"/>
          <w:sz w:val="24"/>
        </w:rPr>
        <w:t>. Participant understands that, any amounts related to the RSUs will be denominated in U.S. dollars and will be converted to any 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RSUs, or of any amounts due to Participant or as a result of the subsequent sale of any Shares acquired under the RSUs.</w:t>
      </w:r>
    </w:p>
    <w:p>
      <w:pPr>
        <w:pStyle w:val="TextBody"/>
        <w:bidi w:val="0"/>
        <w:spacing w:lineRule="auto" w:line="333" w:before="0" w:after="240"/>
        <w:jc w:val="both"/>
        <w:rPr/>
      </w:pPr>
      <w:r>
        <w:rPr>
          <w:rFonts w:ascii="sans-serif" w:hAnsi="sans-serif"/>
          <w:b/>
          <w:color w:val="000000"/>
          <w:sz w:val="24"/>
          <w:u w:val="single"/>
        </w:rPr>
        <w:t>Foreign Asset/Account Reporting; Exchange Controls</w:t>
      </w:r>
      <w:r>
        <w:rPr>
          <w:rFonts w:ascii="sans-serif" w:hAnsi="sans-serif"/>
          <w:b/>
          <w:color w:val="000000"/>
          <w:sz w:val="24"/>
        </w:rPr>
        <w:t>.</w:t>
      </w:r>
      <w:r>
        <w:rPr>
          <w:color w:val="000000"/>
        </w:rPr>
        <w:t xml:space="preserve"> </w:t>
      </w:r>
      <w:r>
        <w:rPr>
          <w:rFonts w:ascii="sans-serif" w:hAnsi="sans-serif"/>
          <w:b w:val="false"/>
          <w:color w:val="000000"/>
          <w:sz w:val="24"/>
        </w:rPr>
        <w:t xml:space="preserve">Participant’s country of residence may have certain foreign asset and/or account reporting or exchange control requirements which may affect his or her ability to acquire or hold Shares under the Agreement or cash received (including proceeds arising from the sale of Shares) in a brokerage or bank account outside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2560"/>
                <wp:effectExtent l="0" t="0" r="0" b="0"/>
                <wp:wrapNone/>
                <wp:docPr id="75" name="Frame7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Appendix-3</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Participant’s country. Participant may be required to report such accounts, assets or transactions to the tax or other authorities in his or her country. Participant may also be required to repatriate sale proceeds or other funds received as a result of his/her participation in the Plan to his or her country through a designated broker or bank and/or within a certain time after receipt. Participant is responsible for ensuring compliance with such regulations and should consult with his or her personal legal advisor for any details.</w:t>
      </w:r>
    </w:p>
    <w:p>
      <w:pPr>
        <w:pStyle w:val="TextBody"/>
        <w:bidi w:val="0"/>
        <w:spacing w:lineRule="auto" w:line="333" w:before="0" w:after="240"/>
        <w:jc w:val="both"/>
        <w:rPr/>
      </w:pPr>
      <w:r>
        <w:rPr>
          <w:rFonts w:ascii="sans-serif" w:hAnsi="sans-serif"/>
          <w:b/>
          <w:color w:val="000000"/>
          <w:sz w:val="24"/>
          <w:u w:val="single"/>
        </w:rPr>
        <w:t>No Advice Regarding Grant</w:t>
      </w:r>
      <w:r>
        <w:rPr>
          <w:rFonts w:ascii="sans-serif" w:hAnsi="sans-serif"/>
          <w:b w:val="false"/>
          <w:color w:val="000000"/>
          <w:sz w:val="24"/>
        </w:rPr>
        <w:t>. The Company is not providing any tax, legal or financial advice, nor is the Company making any recommendations regarding Participant’s participation in the Plan or the Agreement or any receipt of the RSUs or sale of Shares acquired upon settlement of the RSUs. Participant should consult his or her own personal tax, legal and financial advisors regarding his or her participation in the Plan and the Agreement before taking any action related to the RSUs or the Shares.</w:t>
      </w:r>
    </w:p>
    <w:p>
      <w:pPr>
        <w:pStyle w:val="TextBody"/>
        <w:bidi w:val="0"/>
        <w:spacing w:lineRule="auto" w:line="333" w:before="0" w:after="240"/>
        <w:jc w:val="both"/>
        <w:rPr/>
      </w:pPr>
      <w:r>
        <w:rPr>
          <w:rFonts w:ascii="sans-serif" w:hAnsi="sans-serif"/>
          <w:b/>
          <w:color w:val="000000"/>
          <w:sz w:val="24"/>
          <w:u w:val="single"/>
        </w:rPr>
        <w:t>Imposition of Other Requirements</w:t>
      </w:r>
      <w:r>
        <w:rPr>
          <w:rFonts w:ascii="sans-serif" w:hAnsi="sans-serif"/>
          <w:b w:val="false"/>
          <w:color w:val="000000"/>
          <w:sz w:val="24"/>
        </w:rPr>
        <w:t>. The Company reserves the right to impose other requirements on Participant, on the RSUs and/or any Shares issuable upon settlement of the RSUs,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333" w:before="0" w:after="0"/>
        <w:jc w:val="center"/>
        <w:rPr>
          <w:rFonts w:ascii="sans-serif" w:hAnsi="sans-serif"/>
          <w:b/>
          <w:color w:val="000000"/>
          <w:sz w:val="24"/>
          <w:u w:val="single"/>
        </w:rPr>
      </w:pPr>
      <w:r>
        <w:rPr>
          <w:rFonts w:ascii="sans-serif" w:hAnsi="sans-serif"/>
          <w:b/>
          <w:color w:val="000000"/>
          <w:sz w:val="24"/>
          <w:u w:val="single"/>
        </w:rPr>
        <w:t>AUSTRALIA</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 xml:space="preserve">Notifications </w:t>
      </w:r>
    </w:p>
    <w:p>
      <w:pPr>
        <w:pStyle w:val="TextBody"/>
        <w:bidi w:val="0"/>
        <w:spacing w:lineRule="auto" w:line="333" w:before="0" w:after="240"/>
        <w:jc w:val="both"/>
        <w:rPr/>
      </w:pPr>
      <w:r>
        <w:rPr>
          <w:rFonts w:ascii="sans-serif" w:hAnsi="sans-serif"/>
          <w:b w:val="false"/>
          <w:color w:val="000000"/>
          <w:sz w:val="24"/>
          <w:u w:val="single"/>
        </w:rPr>
        <w:t>Securities Law Information</w:t>
      </w:r>
      <w:r>
        <w:rPr>
          <w:rFonts w:ascii="sans-serif" w:hAnsi="sans-serif"/>
          <w:b w:val="false"/>
          <w:color w:val="000000"/>
          <w:sz w:val="24"/>
        </w:rPr>
        <w:t xml:space="preserve">. The offer of the Award is being made under Division 1A, Part 7.12 of the </w:t>
      </w:r>
      <w:r>
        <w:rPr>
          <w:rFonts w:ascii="sans-serif" w:hAnsi="sans-serif"/>
          <w:b w:val="false"/>
          <w:i/>
          <w:color w:val="000000"/>
          <w:sz w:val="24"/>
        </w:rPr>
        <w:t>Corporations Act 2001 (Cth)</w:t>
      </w:r>
      <w:r>
        <w:rPr>
          <w:rFonts w:ascii="sans-serif" w:hAnsi="sans-serif"/>
          <w:b w:val="false"/>
          <w:color w:val="000000"/>
          <w:sz w:val="24"/>
        </w:rPr>
        <w:t xml:space="preserve">. </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Exchange control reporting is required for cash transactions exceeding A$10,000 and international fund transfers. The Australian bank assisting with the transaction may file the report. If there is no Australian bank involved in the transfer, Participant will have to file the report. Participant should consult with Participant’s personal advisor to ensure that Participant is properly complying with applicable reporting requirements in Australia.</w:t>
      </w:r>
    </w:p>
    <w:p>
      <w:pPr>
        <w:pStyle w:val="TextBody"/>
        <w:bidi w:val="0"/>
        <w:spacing w:lineRule="auto" w:line="333" w:before="0" w:after="240"/>
        <w:jc w:val="both"/>
        <w:rPr/>
      </w:pPr>
      <w:r>
        <w:rPr>
          <w:rFonts w:ascii="sans-serif" w:hAnsi="sans-serif"/>
          <w:b w:val="false"/>
          <w:color w:val="000000"/>
          <w:sz w:val="24"/>
          <w:u w:val="single"/>
        </w:rPr>
        <w:t>Tax Information</w:t>
      </w:r>
      <w:r>
        <w:rPr>
          <w:rFonts w:ascii="sans-serif" w:hAnsi="sans-serif"/>
          <w:b w:val="false"/>
          <w:color w:val="000000"/>
          <w:sz w:val="24"/>
        </w:rPr>
        <w:t>. The Plan is a plan to which Subdivision 83A-C of the Income Tax Assessment Act 1997 (Cth) applies (subject to the conditions in the Act).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2560"/>
                <wp:effectExtent l="0" t="0" r="0" b="0"/>
                <wp:wrapNone/>
                <wp:docPr id="76" name="Frame7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Appendix-4</w:t>
                      </w:r>
                    </w:p>
                  </w:txbxContent>
                </v:textbox>
                <w10:wrap type="none"/>
              </v:rect>
            </w:pict>
          </mc:Fallback>
        </mc:AlternateConten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AUSTRIA</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color w:val="000000"/>
          <w:sz w:val="24"/>
        </w:rPr>
        <w:t xml:space="preserve">. </w:t>
      </w:r>
      <w:r>
        <w:rPr>
          <w:rFonts w:ascii="sans-serif" w:hAnsi="sans-serif"/>
          <w:b w:val="false"/>
          <w:color w:val="000000"/>
          <w:sz w:val="24"/>
        </w:rPr>
        <w:t xml:space="preserve">If Participant holds securities (including shares of Common Stock acquired under the Plan) or cash (including proceeds from the sale of shares of Common Stock) outside of Austria, Participant may be required to submit reports to the Austrian National Bank on an annual or quarterly basis. If the value of the shares meets or exceeds a certain threshold (currently €5,000,000), Participant must report the securities held on a quarterly basis to the Austrian National Bank as of the last day of the quarter, on or before the 15th day of the month following the end of the calendar quarter.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When Participant sells shares of Common Stock acquired under the Plan or receive a cash dividend, there may be exchange control obligations if the cash proceeds are held outside of Austria. If the transaction volume of all of Participant’s cash accounts abroad equals or exceeds a certain threshold (currently €10 million), the movements and balances of all accounts (as of the last day of the month) must be reported monthly by the 15th day of the following month, on the prescribed forms.</w:t>
      </w:r>
    </w:p>
    <w:p>
      <w:pPr>
        <w:pStyle w:val="TextBody"/>
        <w:bidi w:val="0"/>
        <w:spacing w:lineRule="auto" w:line="333" w:before="0" w:after="0"/>
        <w:jc w:val="center"/>
        <w:rPr>
          <w:rFonts w:ascii="sans-serif" w:hAnsi="sans-serif"/>
          <w:b/>
          <w:color w:val="000000"/>
          <w:sz w:val="24"/>
          <w:u w:val="single"/>
        </w:rPr>
      </w:pPr>
      <w:r>
        <w:rPr>
          <w:rFonts w:ascii="sans-serif" w:hAnsi="sans-serif"/>
          <w:b/>
          <w:color w:val="000000"/>
          <w:sz w:val="24"/>
          <w:u w:val="single"/>
        </w:rPr>
        <w:t>BELGIUM</w:t>
      </w:r>
    </w:p>
    <w:p>
      <w:pPr>
        <w:pStyle w:val="TextBody"/>
        <w:bidi w:val="0"/>
        <w:spacing w:lineRule="auto" w:line="333" w:before="0" w:after="240"/>
        <w:jc w:val="both"/>
        <w:rPr/>
      </w:pPr>
      <w:r>
        <w:rPr>
          <w:rFonts w:ascii="sans-serif" w:hAnsi="sans-serif"/>
          <w:b/>
          <w:i/>
          <w:color w:val="000000"/>
          <w:sz w:val="24"/>
        </w:rPr>
        <w:t>Notifications</w:t>
      </w:r>
      <w:r>
        <w:rPr>
          <w:color w:val="000000"/>
        </w:rPr>
        <w:t xml:space="preserve"> </w:t>
      </w:r>
    </w:p>
    <w:p>
      <w:pPr>
        <w:pStyle w:val="TextBody"/>
        <w:bidi w:val="0"/>
        <w:spacing w:lineRule="auto" w:line="333"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Belgian residents are required to report any security or bank account (including brokerage accounts) they maintain outside of Belgium on their annual tax return. The first time Belgian residents report the foreign security and/or bank account on their annual tax return, they must also provide the National Bank of Belgium with certain details regarding such foreign accounts (including the account number, bank name and country in which any such account was opened). The forms to complete this report are available on the website of the National Bank of Belgium.</w:t>
      </w:r>
    </w:p>
    <w:p>
      <w:pPr>
        <w:pStyle w:val="TextBody"/>
        <w:bidi w:val="0"/>
        <w:spacing w:lineRule="auto" w:line="333" w:before="0" w:after="240"/>
        <w:jc w:val="both"/>
        <w:rPr/>
      </w:pPr>
      <w:r>
        <w:rPr>
          <w:rFonts w:ascii="sans-serif" w:hAnsi="sans-serif"/>
          <w:b w:val="false"/>
          <w:color w:val="000000"/>
          <w:sz w:val="24"/>
          <w:u w:val="single"/>
        </w:rPr>
        <w:t>Stock Exchange Tax Information</w:t>
      </w:r>
      <w:r>
        <w:rPr>
          <w:rFonts w:ascii="sans-serif" w:hAnsi="sans-serif"/>
          <w:b w:val="false"/>
          <w:color w:val="000000"/>
          <w:sz w:val="24"/>
        </w:rPr>
        <w:t>. A stock exchange tax applies to transactions executed by a Belgian resident through a non-Belgian financial intermediary, such as a U.S. broker. The stock exchange tax likely will not apply when the Restricted Stock Units vest, but likely will apply when shares of Common Stock are sold. Participant should consult with a personal tax or financial advisor for additional details on Participant’s obligations with respect to the stock exchange tax.</w:t>
      </w:r>
    </w:p>
    <w:p>
      <w:pPr>
        <w:pStyle w:val="TextBody"/>
        <w:bidi w:val="0"/>
        <w:spacing w:lineRule="auto" w:line="333" w:before="0" w:after="240"/>
        <w:jc w:val="both"/>
        <w:rPr/>
      </w:pPr>
      <w:r>
        <w:rPr>
          <w:rFonts w:ascii="sans-serif" w:hAnsi="sans-serif"/>
          <w:b w:val="false"/>
          <w:color w:val="000000"/>
          <w:sz w:val="24"/>
          <w:u w:val="single"/>
        </w:rPr>
        <w:t>Annual Securities Account Tax Information</w:t>
      </w:r>
      <w:r>
        <w:rPr>
          <w:rFonts w:ascii="sans-serif" w:hAnsi="sans-serif"/>
          <w:b/>
          <w:color w:val="000000"/>
          <w:sz w:val="24"/>
        </w:rPr>
        <w:t>.</w:t>
      </w:r>
      <w:r>
        <w:rPr>
          <w:color w:val="000000"/>
        </w:rPr>
        <w:t xml:space="preserve"> </w:t>
      </w:r>
      <w:r>
        <w:rPr>
          <w:rFonts w:ascii="sans-serif" w:hAnsi="sans-serif"/>
          <w:b w:val="false"/>
          <w:color w:val="000000"/>
          <w:sz w:val="24"/>
        </w:rPr>
        <w:t xml:space="preserve">An annual securities accounts tax may apply on the value of qualifying securities held in a Belgian or foreign securities account. The tax will not apply unless the total average value of securities Participant holds in such an account exceeds an average of a certain threshold (currently, €1 million) on four reference dates within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2560"/>
                <wp:effectExtent l="0" t="0" r="0" b="0"/>
                <wp:wrapNone/>
                <wp:docPr id="77" name="Frame7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Appendix-5</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relevant reporting period (i.e., December 31, March 31, June 30 and September 30). Different payment obligations may apply, depending on whether the securities account is held with a Belgian or foreign financial institution. Participant should consult Participant’s personal tax advisor for more information regarding Participant’s annual securities accounts tax payment obligations.</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BULGARIA</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Cash Settlement</w:t>
      </w:r>
      <w:r>
        <w:rPr>
          <w:rFonts w:ascii="sans-serif" w:hAnsi="sans-serif"/>
          <w:b/>
          <w:color w:val="000000"/>
          <w:sz w:val="24"/>
        </w:rPr>
        <w:t>.</w:t>
      </w:r>
      <w:r>
        <w:rPr>
          <w:color w:val="000000"/>
        </w:rPr>
        <w:t xml:space="preserve"> </w:t>
      </w:r>
      <w:r>
        <w:rPr>
          <w:rFonts w:ascii="sans-serif" w:hAnsi="sans-serif"/>
          <w:b w:val="false"/>
          <w:color w:val="000000"/>
          <w:sz w:val="24"/>
        </w:rPr>
        <w:t>Notwithstanding any provision in the Restricted Stock Unit Agreement and the Special Country Provisions for RSUs for Participants to the contrary, any vested RSUs and dividend equivalents shall be settled by payment in cash or its equivalent of an amount equal in value to the Shares subject to such RSUs and dividend equivalents (using the closing price per Share on the Nasdaq Stock Market (or other principal exchange on which the Shares then trade) on the trading day immediately prior to the date of settlement). Any references to the issuance of Shares in any documents related to RSUs shall not be applicable. Notwithstanding the foregoing, the Company reserves the right to settle RSUs and/or dividend equivalents in Shares, in its discretion.</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color w:val="000000"/>
          <w:sz w:val="24"/>
        </w:rPr>
        <w:t>.</w:t>
      </w:r>
      <w:r>
        <w:rPr>
          <w:color w:val="000000"/>
        </w:rPr>
        <w:t xml:space="preserve"> </w:t>
      </w:r>
      <w:r>
        <w:rPr>
          <w:rFonts w:ascii="sans-serif" w:hAnsi="sans-serif"/>
          <w:b w:val="false"/>
          <w:color w:val="000000"/>
          <w:sz w:val="24"/>
        </w:rPr>
        <w:t>The Participant may be required to report annually to the Bulgarian National Bank, as of March 31 of each year, details of the Participant’s receivables in bank accounts held abroad as well as the Participant’s securities held abroad if the aggregate value of such receivables and securities is equal to or exceeds BGN 50,000 as of December 31 of the previous calendar year.</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CANADA</w:t>
      </w:r>
    </w:p>
    <w:p>
      <w:pPr>
        <w:pStyle w:val="TextBody"/>
        <w:bidi w:val="0"/>
        <w:spacing w:lineRule="auto" w:line="333" w:before="0" w:after="240"/>
        <w:jc w:val="both"/>
        <w:rPr/>
      </w:pPr>
      <w:r>
        <w:rPr>
          <w:rFonts w:ascii="sans-serif" w:hAnsi="sans-serif"/>
          <w:b w:val="false"/>
          <w:color w:val="000000"/>
          <w:sz w:val="24"/>
          <w:u w:val="single"/>
        </w:rPr>
        <w:t>Award</w:t>
      </w:r>
      <w:r>
        <w:rPr>
          <w:rFonts w:ascii="sans-serif" w:hAnsi="sans-serif"/>
          <w:b w:val="false"/>
          <w:color w:val="000000"/>
          <w:sz w:val="24"/>
        </w:rPr>
        <w:t>. The following provision replaces Section 2.1 of the Agreement:</w:t>
      </w:r>
    </w:p>
    <w:p>
      <w:pPr>
        <w:pStyle w:val="TextBody"/>
        <w:bidi w:val="0"/>
        <w:spacing w:lineRule="auto" w:line="333" w:before="0" w:after="240"/>
        <w:jc w:val="both"/>
        <w:rPr/>
      </w:pPr>
      <w:r>
        <w:rPr>
          <w:rFonts w:ascii="sans-serif" w:hAnsi="sans-serif"/>
          <w:b w:val="false"/>
          <w:color w:val="000000"/>
          <w:sz w:val="24"/>
          <w:u w:val="single"/>
        </w:rPr>
        <w:t>2.1</w:t>
      </w:r>
      <w:r>
        <w:rPr>
          <w:color w:val="000000"/>
        </w:rPr>
        <w:t>    </w:t>
      </w:r>
      <w:r>
        <w:rPr>
          <w:rFonts w:ascii="sans-serif" w:hAnsi="sans-serif"/>
          <w:b w:val="false"/>
          <w:color w:val="000000"/>
          <w:sz w:val="24"/>
          <w:u w:val="single"/>
        </w:rPr>
        <w:t>Award of RSUs</w:t>
      </w:r>
      <w:r>
        <w:rPr>
          <w:rFonts w:ascii="sans-serif" w:hAnsi="sans-serif"/>
          <w:b w:val="false"/>
          <w:color w:val="000000"/>
          <w:sz w:val="24"/>
        </w:rPr>
        <w:t>. The Company has granted the RSUs to Participant effective as of the grant date set forth in the Grant Notice (the “</w:t>
      </w:r>
      <w:r>
        <w:rPr>
          <w:rFonts w:ascii="sans-serif" w:hAnsi="sans-serif"/>
          <w:b/>
          <w:i/>
          <w:color w:val="000000"/>
          <w:sz w:val="24"/>
        </w:rPr>
        <w:t>Grant Date</w:t>
      </w:r>
      <w:r>
        <w:rPr>
          <w:color w:val="000000"/>
        </w:rPr>
        <w:t>”</w:t>
      </w:r>
      <w:r>
        <w:rPr>
          <w:rFonts w:ascii="sans-serif" w:hAnsi="sans-serif"/>
          <w:b w:val="false"/>
          <w:color w:val="000000"/>
          <w:sz w:val="24"/>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 For certainty, RSUs are granted in respect of the Participant’s service with the Company in the year that coincides with the Grant Date, and not in respect of any previous year.</w:t>
      </w:r>
    </w:p>
    <w:p>
      <w:pPr>
        <w:pStyle w:val="TextBody"/>
        <w:bidi w:val="0"/>
        <w:spacing w:lineRule="auto" w:line="333" w:before="0" w:after="240"/>
        <w:jc w:val="both"/>
        <w:rPr/>
      </w:pPr>
      <w:r>
        <w:rPr>
          <w:rFonts w:ascii="sans-serif" w:hAnsi="sans-serif"/>
          <w:b w:val="false"/>
          <w:color w:val="000000"/>
          <w:sz w:val="24"/>
          <w:u w:val="single"/>
        </w:rPr>
        <w:t>Settlement</w:t>
      </w:r>
      <w:r>
        <w:rPr>
          <w:rFonts w:ascii="sans-serif" w:hAnsi="sans-serif"/>
          <w:b w:val="false"/>
          <w:color w:val="000000"/>
          <w:sz w:val="24"/>
        </w:rPr>
        <w:t>.</w:t>
      </w:r>
      <w:r>
        <w:rPr>
          <w:color w:val="000000"/>
        </w:rPr>
        <w:t xml:space="preserve"> </w:t>
      </w:r>
      <w:r>
        <w:rPr>
          <w:rFonts w:ascii="sans-serif" w:hAnsi="sans-serif"/>
          <w:b w:val="false"/>
          <w:color w:val="000000"/>
          <w:sz w:val="24"/>
        </w:rPr>
        <w:t>The following</w:t>
      </w:r>
      <w:r>
        <w:rPr>
          <w:color w:val="000000"/>
        </w:rPr>
        <w:t xml:space="preserve"> </w:t>
      </w:r>
      <w:r>
        <w:rPr>
          <w:rFonts w:ascii="sans-serif" w:hAnsi="sans-serif"/>
          <w:b w:val="false"/>
          <w:color w:val="000000"/>
          <w:sz w:val="24"/>
        </w:rPr>
        <w:t>provision supplements</w:t>
      </w:r>
      <w:r>
        <w:rPr>
          <w:color w:val="000000"/>
        </w:rPr>
        <w:t xml:space="preserve"> </w:t>
      </w:r>
      <w:r>
        <w:rPr>
          <w:rFonts w:ascii="sans-serif" w:hAnsi="sans-serif"/>
          <w:b w:val="false"/>
          <w:color w:val="000000"/>
          <w:sz w:val="24"/>
        </w:rPr>
        <w:t>Section 2.6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2560"/>
                <wp:effectExtent l="0" t="0" r="0" b="0"/>
                <wp:wrapNone/>
                <wp:docPr id="78" name="Frame7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Appendix-6</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(a)    RSUs will be paid in Shares or cash at the Company’s option, and any dividend equivalents in respect of such RSUs will be paid in Shares, in each case as soon as administratively practicable after the vesting of the applicable RSUs, but in no event any later than the earlier of the following dates: (i) sixty (60) days after the date on which such RSUs vest, and (ii) December 31st of the third year following the Grant Date.</w:t>
      </w:r>
    </w:p>
    <w:p>
      <w:pPr>
        <w:pStyle w:val="TextBody"/>
        <w:bidi w:val="0"/>
        <w:spacing w:lineRule="auto" w:line="333" w:before="0" w:after="240"/>
        <w:jc w:val="both"/>
        <w:rPr/>
      </w:pPr>
      <w:r>
        <w:rPr>
          <w:rFonts w:ascii="sans-serif" w:hAnsi="sans-serif"/>
          <w:b w:val="false"/>
          <w:color w:val="000000"/>
          <w:sz w:val="24"/>
          <w:u w:val="single"/>
        </w:rPr>
        <w:t>Nature of Grant</w:t>
      </w:r>
      <w:r>
        <w:rPr>
          <w:rFonts w:ascii="sans-serif" w:hAnsi="sans-serif"/>
          <w:b w:val="false"/>
          <w:color w:val="000000"/>
          <w:sz w:val="24"/>
        </w:rPr>
        <w:t>.</w:t>
      </w:r>
      <w:r>
        <w:rPr>
          <w:color w:val="000000"/>
        </w:rPr>
        <w:t xml:space="preserve"> </w:t>
      </w:r>
      <w:r>
        <w:rPr>
          <w:rFonts w:ascii="sans-serif" w:hAnsi="sans-serif"/>
          <w:b w:val="false"/>
          <w:color w:val="000000"/>
          <w:sz w:val="24"/>
        </w:rPr>
        <w:t>The following provisions replace Section 1(h) and 1(k) of Appendix A:</w:t>
      </w:r>
    </w:p>
    <w:p>
      <w:pPr>
        <w:pStyle w:val="TextBody"/>
        <w:bidi w:val="0"/>
        <w:spacing w:lineRule="auto" w:line="333" w:before="0" w:after="240"/>
        <w:ind w:left="0" w:right="0" w:firstLine="720"/>
        <w:jc w:val="both"/>
        <w:rPr>
          <w:rFonts w:ascii="sans-serif" w:hAnsi="sans-serif"/>
          <w:b w:val="false"/>
          <w:color w:val="000000"/>
          <w:sz w:val="24"/>
        </w:rPr>
      </w:pPr>
      <w:r>
        <w:rPr>
          <w:rFonts w:ascii="sans-serif" w:hAnsi="sans-serif"/>
          <w:b w:val="false"/>
          <w:color w:val="000000"/>
          <w:sz w:val="24"/>
        </w:rPr>
        <w:t>(h) except as explicitly and minimally required under applicable legislation, the RSUs, the Dividend Equivalents and the Shares subject to the RSUs, and the income from and value of same, are not part of normal or expected compensation or salary for any purposes, including, but not limited to, calculating any severance, resignation, termination, redundancy, dismissal, end-of-service payments, holiday pay, bonuses, long-service awards, pension or retirement or welfare benefits or similar payments;</w:t>
      </w:r>
    </w:p>
    <w:p>
      <w:pPr>
        <w:pStyle w:val="TextBody"/>
        <w:bidi w:val="0"/>
        <w:spacing w:lineRule="auto" w:line="333" w:before="0" w:after="240"/>
        <w:ind w:left="0" w:right="0" w:firstLine="720"/>
        <w:jc w:val="both"/>
        <w:rPr>
          <w:rFonts w:ascii="sans-serif" w:hAnsi="sans-serif"/>
          <w:b w:val="false"/>
          <w:color w:val="000000"/>
          <w:sz w:val="24"/>
        </w:rPr>
      </w:pPr>
      <w:r>
        <w:rPr>
          <w:rFonts w:ascii="sans-serif" w:hAnsi="sans-serif"/>
          <w:b w:val="false"/>
          <w:color w:val="000000"/>
          <w:sz w:val="24"/>
        </w:rPr>
        <w:t>(k)     except as explicitly and minimally required under applicable legislation, no claim or entitlement to compensation or damages shall arise from (i) forfeiture of the RSUs or Dividend Equivalents resulting from Participant ceasing to provide employment or other services to the Company or any Subsidiary (for any reason whatsoever and whether or not later found to be invalid or in breach of employment laws in the jurisdiction where Participant is employed or the terms of Participant’s employment or service agreement, if any) and/or (ii) the forfeiture or cancellation of the RSUs or Dividend Equivalents and/or recoupment of any Shares, cash, or other benefits acquired under the Plan resulting from the application of any recoupment or compensation recovery policy the Company may adopt and/or amend from time to time, or any other policy of the Company or any Subsidiary that provides for forfeiture, disgorgement or clawback with respect to incentive compensation, or as required by applicable laws, rules, regulations or stock exchange listing standards;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The following provision replaces Section 2.5 of the Agreement: </w:t>
      </w:r>
    </w:p>
    <w:p>
      <w:pPr>
        <w:pStyle w:val="TextBody"/>
        <w:bidi w:val="0"/>
        <w:spacing w:lineRule="auto" w:line="333" w:before="0" w:after="240"/>
        <w:jc w:val="both"/>
        <w:rPr/>
      </w:pPr>
      <w:r>
        <w:rPr>
          <w:rFonts w:ascii="sans-serif" w:hAnsi="sans-serif"/>
          <w:b w:val="false"/>
          <w:color w:val="000000"/>
          <w:sz w:val="24"/>
        </w:rPr>
        <w:t>In the event of Participant’s Termination of Service (for any reason whatsoever, whether or not later found to be invalid or in breach of any Applicable Laws in the jurisdiction where Participant is employed or the terms of Participant’s employment or service agreement, if any), Participant’s right to participate in the Plan, if any, will terminate effective as of the date that Participant is no longer actively employed by, or actively providing services to, the Company or a Subsidiary (the “</w:t>
      </w:r>
      <w:r>
        <w:rPr>
          <w:rFonts w:ascii="sans-serif" w:hAnsi="sans-serif"/>
          <w:b/>
          <w:i/>
          <w:color w:val="000000"/>
          <w:sz w:val="24"/>
        </w:rPr>
        <w:t>Termination Date</w:t>
      </w:r>
      <w:r>
        <w:rPr>
          <w:color w:val="000000"/>
        </w:rPr>
        <w:t>”</w:t>
      </w:r>
      <w:r>
        <w:rPr>
          <w:rFonts w:ascii="sans-serif" w:hAnsi="sans-serif"/>
          <w:b w:val="false"/>
          <w:color w:val="000000"/>
          <w:sz w:val="24"/>
        </w:rPr>
        <w:t xml:space="preserve">). Unless explicitly required by applicable legislation, the Termination Date shall exclude and shall not be extended by any period during which notice, pay in lieu of notice or related payments or damages are provided or required to be provided under statute, contract, common/civil law or otherwise. Subject to Applicable Laws, the Administrator shall have the exclusive discretion to determine when Participant is no longer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2560"/>
                <wp:effectExtent l="0" t="0" r="0" b="0"/>
                <wp:wrapNone/>
                <wp:docPr id="79" name="Frame7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Appendix-7</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actively providing services for purposes of Participant’s participation in the Plan. Participant will not earn or be entitled to any grants or pro-rated vesting (including whether Participant may still be considered to be providing services while on a leave of absence) for that period of time after the Termination Date, nor will Participant be entitled to any compensation or damages in lieu of lost vesting or grants, and Participant waives their rights to any such compensation, damages or entitlements.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Notwithstanding the foregoing, if applicable employment standards legislation explicitly requires continued entitlement to vesting during a statutory notice period, Participant acknowledges that Participant’s right to vest in the RSUs, if any, will terminate effective as of the last day of Participant’s minimum statutory notice period but Participant will not earn or be entitled to pro-rated vesting if the vesting date falls after the end of the statutory notice period, nor will Participant be entitled to any compensation for lost vesting if the vesting date falls after the end of the statutory notice period. For the sake of clarity, any reference to the date of Participant’s Termination of Service (or any similar concept) under the Agreement or the Plan will be interpreted to mean the Termination Date.</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Securities Law Information</w:t>
      </w:r>
      <w:r>
        <w:rPr>
          <w:rFonts w:ascii="sans-serif" w:hAnsi="sans-serif"/>
          <w:b w:val="false"/>
          <w:color w:val="000000"/>
          <w:sz w:val="24"/>
        </w:rPr>
        <w:t>. Participant is permitted to sell Shares acquired through the Plan through the Broker appointed under the Plan, if any (or any other broker acceptable to the Company), provided the resale of Shares acquired under the Plan takes place outside of Canada through the facilities of a stock exchange on which the Shares are listed.</w:t>
      </w:r>
      <w:r>
        <w:rPr>
          <w:color w:val="000000"/>
        </w:rPr>
        <w:t xml:space="preserve"> </w:t>
      </w:r>
      <w:r>
        <w:rPr>
          <w:rFonts w:ascii="sans-serif" w:hAnsi="sans-serif"/>
          <w:b w:val="false"/>
          <w:color w:val="000000"/>
          <w:sz w:val="24"/>
        </w:rPr>
        <w:t xml:space="preserve">The Shares are currently listed on the </w:t>
      </w:r>
    </w:p>
    <w:p>
      <w:pPr>
        <w:pStyle w:val="TextBody"/>
        <w:bidi w:val="0"/>
        <w:spacing w:lineRule="auto" w:line="333"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Participant is required to report any foreign specified property,</w:t>
      </w:r>
      <w:r>
        <w:rPr>
          <w:color w:val="000000"/>
        </w:rPr>
        <w:t xml:space="preserve"> </w:t>
      </w:r>
      <w:r>
        <w:rPr>
          <w:rFonts w:ascii="sans-serif" w:hAnsi="sans-serif"/>
          <w:b w:val="false"/>
          <w:color w:val="000000"/>
          <w:sz w:val="24"/>
        </w:rPr>
        <w:t>including</w:t>
      </w:r>
      <w:r>
        <w:rPr>
          <w:color w:val="000000"/>
        </w:rPr>
        <w:t xml:space="preserve"> </w:t>
      </w:r>
      <w:r>
        <w:rPr>
          <w:rFonts w:ascii="sans-serif" w:hAnsi="sans-serif"/>
          <w:b w:val="false"/>
          <w:color w:val="000000"/>
          <w:sz w:val="24"/>
        </w:rPr>
        <w:t>Shares</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rights</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receive</w:t>
      </w:r>
      <w:r>
        <w:rPr>
          <w:color w:val="000000"/>
        </w:rPr>
        <w:t xml:space="preserve"> </w:t>
      </w:r>
      <w:r>
        <w:rPr>
          <w:rFonts w:ascii="sans-serif" w:hAnsi="sans-serif"/>
          <w:b w:val="false"/>
          <w:color w:val="000000"/>
          <w:sz w:val="24"/>
        </w:rPr>
        <w:t>Shares</w:t>
      </w:r>
      <w:r>
        <w:rPr>
          <w:color w:val="000000"/>
        </w:rPr>
        <w:t xml:space="preserve"> </w:t>
      </w:r>
      <w:r>
        <w:rPr>
          <w:rFonts w:ascii="sans-serif" w:hAnsi="sans-serif"/>
          <w:b w:val="false"/>
          <w:color w:val="000000"/>
          <w:sz w:val="24"/>
        </w:rPr>
        <w:t>(</w:t>
      </w:r>
      <w:r>
        <w:rPr>
          <w:rFonts w:ascii="sans-serif" w:hAnsi="sans-serif"/>
          <w:b w:val="false"/>
          <w:i/>
          <w:color w:val="000000"/>
          <w:sz w:val="24"/>
        </w:rPr>
        <w:t>e.g.</w:t>
      </w:r>
      <w:r>
        <w:rPr>
          <w:rFonts w:ascii="sans-serif" w:hAnsi="sans-serif"/>
          <w:b w:val="false"/>
          <w:color w:val="000000"/>
          <w:sz w:val="24"/>
        </w:rPr>
        <w:t>,</w:t>
      </w:r>
      <w:r>
        <w:rPr>
          <w:color w:val="000000"/>
        </w:rPr>
        <w:t xml:space="preserve"> </w:t>
      </w:r>
      <w:r>
        <w:rPr>
          <w:rFonts w:ascii="sans-serif" w:hAnsi="sans-serif"/>
          <w:b w:val="false"/>
          <w:color w:val="000000"/>
          <w:sz w:val="24"/>
        </w:rPr>
        <w:t>RSUs),</w:t>
      </w:r>
      <w:r>
        <w:rPr>
          <w:color w:val="000000"/>
        </w:rPr>
        <w:t xml:space="preserve"> </w:t>
      </w:r>
      <w:r>
        <w:rPr>
          <w:rFonts w:ascii="sans-serif" w:hAnsi="sans-serif"/>
          <w:b w:val="false"/>
          <w:color w:val="000000"/>
          <w:sz w:val="24"/>
        </w:rPr>
        <w:t>annually</w:t>
      </w:r>
      <w:r>
        <w:rPr>
          <w:color w:val="000000"/>
        </w:rPr>
        <w:t xml:space="preserve"> </w:t>
      </w:r>
      <w:r>
        <w:rPr>
          <w:rFonts w:ascii="sans-serif" w:hAnsi="sans-serif"/>
          <w:b w:val="false"/>
          <w:color w:val="000000"/>
          <w:sz w:val="24"/>
        </w:rPr>
        <w:t>on a Form T1135 (Foreign Income Verification Statement) if the total cost of the foreign specified property exceeds CAD 100,000 at any time during the year.</w:t>
      </w:r>
      <w:r>
        <w:rPr>
          <w:color w:val="000000"/>
        </w:rPr>
        <w:t xml:space="preserve"> </w:t>
      </w:r>
      <w:r>
        <w:rPr>
          <w:rFonts w:ascii="sans-serif" w:hAnsi="sans-serif"/>
          <w:b w:val="false"/>
          <w:color w:val="000000"/>
          <w:sz w:val="24"/>
        </w:rPr>
        <w:t>Thus, RSUs must</w:t>
      </w:r>
      <w:r>
        <w:rPr>
          <w:color w:val="000000"/>
        </w:rPr>
        <w:t xml:space="preserve"> </w:t>
      </w:r>
      <w:r>
        <w:rPr>
          <w:rFonts w:ascii="sans-serif" w:hAnsi="sans-serif"/>
          <w:b w:val="false"/>
          <w:color w:val="000000"/>
          <w:sz w:val="24"/>
        </w:rPr>
        <w:t>be reported - generally at a nil cost - if the CAD 100,000 cost threshold is exceeded because of other foreign property. When Shares are acquired, their cost generally is the adjusted cost base (“</w:t>
      </w:r>
      <w:r>
        <w:rPr>
          <w:rFonts w:ascii="sans-serif" w:hAnsi="sans-serif"/>
          <w:b/>
          <w:i/>
          <w:color w:val="000000"/>
          <w:sz w:val="24"/>
        </w:rPr>
        <w:t>ACB</w:t>
      </w:r>
      <w:r>
        <w:rPr>
          <w:color w:val="000000"/>
        </w:rPr>
        <w:t>”</w:t>
      </w:r>
      <w:r>
        <w:rPr>
          <w:rFonts w:ascii="sans-serif" w:hAnsi="sans-serif"/>
          <w:b w:val="false"/>
          <w:color w:val="000000"/>
          <w:sz w:val="24"/>
        </w:rPr>
        <w:t>) of the Shares.</w:t>
      </w:r>
      <w:r>
        <w:rPr>
          <w:color w:val="000000"/>
        </w:rPr>
        <w:t xml:space="preserve"> </w:t>
      </w:r>
      <w:r>
        <w:rPr>
          <w:rFonts w:ascii="sans-serif" w:hAnsi="sans-serif"/>
          <w:b w:val="false"/>
          <w:color w:val="000000"/>
          <w:sz w:val="24"/>
        </w:rPr>
        <w:t>The ACB would ordinarily equal the fair market value of the Shares at the</w:t>
      </w:r>
      <w:r>
        <w:rPr>
          <w:color w:val="000000"/>
        </w:rPr>
        <w:t xml:space="preserve"> </w:t>
      </w:r>
      <w:r>
        <w:rPr>
          <w:rFonts w:ascii="sans-serif" w:hAnsi="sans-serif"/>
          <w:b w:val="false"/>
          <w:color w:val="000000"/>
          <w:sz w:val="24"/>
        </w:rPr>
        <w:t>time</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acquisition,</w:t>
      </w:r>
      <w:r>
        <w:rPr>
          <w:color w:val="000000"/>
        </w:rPr>
        <w:t xml:space="preserve"> </w:t>
      </w:r>
      <w:r>
        <w:rPr>
          <w:rFonts w:ascii="sans-serif" w:hAnsi="sans-serif"/>
          <w:b w:val="false"/>
          <w:color w:val="000000"/>
          <w:sz w:val="24"/>
        </w:rPr>
        <w:t>but</w:t>
      </w:r>
      <w:r>
        <w:rPr>
          <w:color w:val="000000"/>
        </w:rPr>
        <w:t xml:space="preserve"> </w:t>
      </w:r>
      <w:r>
        <w:rPr>
          <w:rFonts w:ascii="sans-serif" w:hAnsi="sans-serif"/>
          <w:b w:val="false"/>
          <w:color w:val="000000"/>
          <w:sz w:val="24"/>
        </w:rPr>
        <w:t>if</w:t>
      </w:r>
      <w:r>
        <w:rPr>
          <w:color w:val="000000"/>
        </w:rPr>
        <w:t xml:space="preserve"> </w:t>
      </w:r>
      <w:r>
        <w:rPr>
          <w:rFonts w:ascii="sans-serif" w:hAnsi="sans-serif"/>
          <w:b w:val="false"/>
          <w:color w:val="000000"/>
          <w:sz w:val="24"/>
        </w:rPr>
        <w:t>other</w:t>
      </w:r>
      <w:r>
        <w:rPr>
          <w:color w:val="000000"/>
        </w:rPr>
        <w:t xml:space="preserve"> </w:t>
      </w:r>
      <w:r>
        <w:rPr>
          <w:rFonts w:ascii="sans-serif" w:hAnsi="sans-serif"/>
          <w:b w:val="false"/>
          <w:color w:val="000000"/>
          <w:sz w:val="24"/>
        </w:rPr>
        <w:t>Shares</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also</w:t>
      </w:r>
      <w:r>
        <w:rPr>
          <w:color w:val="000000"/>
        </w:rPr>
        <w:t xml:space="preserve"> </w:t>
      </w:r>
      <w:r>
        <w:rPr>
          <w:rFonts w:ascii="sans-serif" w:hAnsi="sans-serif"/>
          <w:b w:val="false"/>
          <w:color w:val="000000"/>
          <w:sz w:val="24"/>
        </w:rPr>
        <w:t>owned,</w:t>
      </w:r>
      <w:r>
        <w:rPr>
          <w:color w:val="000000"/>
        </w:rPr>
        <w:t xml:space="preserve"> </w:t>
      </w:r>
      <w:r>
        <w:rPr>
          <w:rFonts w:ascii="sans-serif" w:hAnsi="sans-serif"/>
          <w:b w:val="false"/>
          <w:color w:val="000000"/>
          <w:sz w:val="24"/>
        </w:rPr>
        <w:t>this</w:t>
      </w:r>
      <w:r>
        <w:rPr>
          <w:color w:val="000000"/>
        </w:rPr>
        <w:t xml:space="preserve"> </w:t>
      </w:r>
      <w:r>
        <w:rPr>
          <w:rFonts w:ascii="sans-serif" w:hAnsi="sans-serif"/>
          <w:b w:val="false"/>
          <w:color w:val="000000"/>
          <w:sz w:val="24"/>
        </w:rPr>
        <w:t>ACB</w:t>
      </w:r>
      <w:r>
        <w:rPr>
          <w:color w:val="000000"/>
        </w:rPr>
        <w:t xml:space="preserve"> </w:t>
      </w:r>
      <w:r>
        <w:rPr>
          <w:rFonts w:ascii="sans-serif" w:hAnsi="sans-serif"/>
          <w:b w:val="false"/>
          <w:color w:val="000000"/>
          <w:sz w:val="24"/>
        </w:rPr>
        <w:t>may</w:t>
      </w:r>
      <w:r>
        <w:rPr>
          <w:color w:val="000000"/>
        </w:rPr>
        <w:t xml:space="preserve"> </w:t>
      </w:r>
      <w:r>
        <w:rPr>
          <w:rFonts w:ascii="sans-serif" w:hAnsi="sans-serif"/>
          <w:b w:val="false"/>
          <w:color w:val="000000"/>
          <w:sz w:val="24"/>
        </w:rPr>
        <w:t>have</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averaged with the ACB of the other Shares.</w:t>
      </w:r>
      <w:r>
        <w:rPr>
          <w:color w:val="000000"/>
        </w:rPr>
        <w:t xml:space="preserve"> </w:t>
      </w:r>
      <w:r>
        <w:rPr>
          <w:rFonts w:ascii="sans-serif" w:hAnsi="sans-serif"/>
          <w:b w:val="false"/>
          <w:color w:val="000000"/>
          <w:sz w:val="24"/>
        </w:rPr>
        <w:t>The Form T1135 generally must be filed by April 30 of the following year.</w:t>
      </w:r>
      <w:r>
        <w:rPr>
          <w:color w:val="000000"/>
        </w:rPr>
        <w:t xml:space="preserve"> </w:t>
      </w:r>
      <w:r>
        <w:rPr>
          <w:rFonts w:ascii="sans-serif" w:hAnsi="sans-serif"/>
          <w:b w:val="false"/>
          <w:color w:val="000000"/>
          <w:sz w:val="24"/>
        </w:rPr>
        <w:t>Participant understands and agrees that Participant should consult with a personal legal advisor to ensure compliance with applicable reporting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2560"/>
                <wp:effectExtent l="0" t="0" r="0" b="0"/>
                <wp:wrapNone/>
                <wp:docPr id="80" name="Frame7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Appendix-8</w:t>
                      </w:r>
                    </w:p>
                  </w:txbxContent>
                </v:textbox>
                <w10:wrap type="none"/>
              </v:rect>
            </w:pict>
          </mc:Fallback>
        </mc:AlternateContent>
      </w:r>
    </w:p>
    <w:p>
      <w:pPr>
        <w:pStyle w:val="TextBody"/>
        <w:bidi w:val="0"/>
        <w:spacing w:lineRule="auto" w:line="333" w:before="0" w:after="240"/>
        <w:jc w:val="center"/>
        <w:rPr>
          <w:rFonts w:ascii="sans-serif" w:hAnsi="sans-serif"/>
          <w:b/>
          <w:color w:val="010000"/>
          <w:sz w:val="24"/>
          <w:u w:val="single"/>
        </w:rPr>
      </w:pPr>
      <w:r>
        <w:rPr>
          <w:rFonts w:ascii="sans-serif" w:hAnsi="sans-serif"/>
          <w:b/>
          <w:color w:val="010000"/>
          <w:sz w:val="24"/>
          <w:u w:val="single"/>
        </w:rPr>
        <w:t>CHILE</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Securities Law Information</w:t>
      </w:r>
      <w:r>
        <w:rPr>
          <w:rFonts w:ascii="sans-serif" w:hAnsi="sans-serif"/>
          <w:b/>
          <w:color w:val="000000"/>
          <w:sz w:val="24"/>
        </w:rPr>
        <w:t>.</w:t>
      </w:r>
      <w:r>
        <w:rPr>
          <w:color w:val="000000"/>
        </w:rPr>
        <w:t xml:space="preserve"> </w:t>
      </w:r>
      <w:r>
        <w:rPr>
          <w:rFonts w:ascii="sans-serif" w:hAnsi="sans-serif"/>
          <w:b w:val="false"/>
          <w:color w:val="000000"/>
          <w:sz w:val="24"/>
        </w:rPr>
        <w:t>The offer of the Award constitutes a private offering in Chile effective as of the Grant Date. The offer of the Award is made subject to General Ruling N° 336 of the Chilean Commission for the Financial Market (“</w:t>
      </w:r>
      <w:r>
        <w:rPr>
          <w:rFonts w:ascii="sans-serif" w:hAnsi="sans-serif"/>
          <w:b/>
          <w:i/>
          <w:color w:val="000000"/>
          <w:sz w:val="24"/>
        </w:rPr>
        <w:t>CMF</w:t>
      </w:r>
      <w:r>
        <w:rPr>
          <w:color w:val="000000"/>
        </w:rPr>
        <w:t>”</w:t>
      </w:r>
      <w:r>
        <w:rPr>
          <w:rFonts w:ascii="sans-serif" w:hAnsi="sans-serif"/>
          <w:b w:val="false"/>
          <w:color w:val="000000"/>
          <w:sz w:val="24"/>
        </w:rPr>
        <w:t>). The offer refers to securities not registered at the Securities Registry or at the Foreign Securities Registry of the CMF, and, therefore, such securities are not subject to oversight of the CMF. Given that the Award is not registered in Chile, the Company is not required to provide information about the Award or shares of Common Stock in Chile. Unless the Award and/or the shares of Common Stock are registered at the corresponding registries of the CMF, a public offering of such securities cannot be made in Chile.</w:t>
      </w:r>
    </w:p>
    <w:p>
      <w:pPr>
        <w:pStyle w:val="TextBody"/>
        <w:bidi w:val="0"/>
        <w:spacing w:lineRule="atLeast" w:line="288" w:before="0" w:after="240"/>
        <w:jc w:val="both"/>
        <w:rPr/>
      </w:pPr>
      <w:r>
        <w:rPr>
          <w:rFonts w:ascii="sans-serif" w:hAnsi="sans-serif"/>
          <w:b w:val="false"/>
          <w:color w:val="000000"/>
          <w:sz w:val="24"/>
          <w:u w:val="single"/>
        </w:rPr>
        <w:t>Información Bajo la Ley de Mercado de Valores</w:t>
      </w:r>
      <w:r>
        <w:rPr>
          <w:rFonts w:ascii="sans-serif" w:hAnsi="sans-serif"/>
          <w:b/>
          <w:i/>
          <w:color w:val="000000"/>
          <w:sz w:val="24"/>
        </w:rPr>
        <w:t>.</w:t>
      </w:r>
      <w:r>
        <w:rPr>
          <w:color w:val="000000"/>
        </w:rPr>
        <w:t xml:space="preserve"> </w:t>
      </w:r>
      <w:r>
        <w:rPr>
          <w:rFonts w:ascii="sans-serif" w:hAnsi="sans-serif"/>
          <w:b w:val="false"/>
          <w:i/>
          <w:color w:val="000000"/>
          <w:sz w:val="24"/>
        </w:rPr>
        <w:t>Esta oferta del Otorgamiento constituye una oferta privada en Chile efectiva a partir de la Fecha de la Concesión (</w:t>
      </w:r>
      <w:r>
        <w:rPr>
          <w:rFonts w:ascii="sans-serif" w:hAnsi="sans-serif"/>
          <w:b w:val="false"/>
          <w:color w:val="000000"/>
          <w:sz w:val="24"/>
        </w:rPr>
        <w:t>Grant Date</w:t>
      </w:r>
      <w:r>
        <w:rPr>
          <w:rFonts w:ascii="sans-serif" w:hAnsi="sans-serif"/>
          <w:b w:val="false"/>
          <w:i/>
          <w:color w:val="000000"/>
          <w:sz w:val="24"/>
        </w:rPr>
        <w:t>, según se define en este documento). Esta oferta del Otorgamiento es realizada conforme a las disposiciones de la Norma de Carácter General No. 336 de la Comisión para el Mercado Financiero de Chile (“CMF”). La oferta se refiere a valores no inscritos en el Registro de Valores o en el Registro de Valores Extranjeros de la CMF y, por lo tanto, tales valores no están sujetos a la fiscalización de ésta. Dado que el Otorgamiento no está registrado en Chile, no se requiere que la Compañía provea información sobre el referido Otorgamiento o las Acciones Ordinarias (</w:t>
      </w:r>
      <w:r>
        <w:rPr>
          <w:rFonts w:ascii="sans-serif" w:hAnsi="sans-serif"/>
          <w:b w:val="false"/>
          <w:color w:val="000000"/>
          <w:sz w:val="24"/>
        </w:rPr>
        <w:t>shares of Common Stock</w:t>
      </w:r>
      <w:r>
        <w:rPr>
          <w:rFonts w:ascii="sans-serif" w:hAnsi="sans-serif"/>
          <w:b w:val="false"/>
          <w:i/>
          <w:color w:val="000000"/>
          <w:sz w:val="24"/>
        </w:rPr>
        <w:t>, según se define en este documento) en Chile. A menos que el Otorgamiento y/o las Acciones Ordinarias estén registradas con la CMF, una oferta pública de tales valores no puede hacerse en Chile.</w:t>
      </w:r>
    </w:p>
    <w:p>
      <w:pPr>
        <w:pStyle w:val="TextBody"/>
        <w:bidi w:val="0"/>
        <w:spacing w:lineRule="auto" w:line="333" w:before="0" w:after="240"/>
        <w:jc w:val="both"/>
        <w:rPr/>
      </w:pPr>
      <w:r>
        <w:rPr>
          <w:rFonts w:ascii="sans-serif" w:hAnsi="sans-serif"/>
          <w:b w:val="false"/>
          <w:color w:val="000000"/>
          <w:sz w:val="24"/>
          <w:u w:val="single"/>
        </w:rPr>
        <w:t>Exchange Control and Tax Information</w:t>
      </w:r>
      <w:r>
        <w:rPr>
          <w:rFonts w:ascii="sans-serif" w:hAnsi="sans-serif"/>
          <w:b w:val="false"/>
          <w:color w:val="000000"/>
          <w:sz w:val="24"/>
        </w:rPr>
        <w:t>. Participant is not required to repatriate proceeds obtained from the sale of shares of Common Stock or from dividends to Chile; however, if Participant decides to repatriate proceeds from the sale of shares of Common Stock and/or dividends and the amount of the proceeds to be repatriated exceeds a certain threshold (currently, US$10,000), Participant must effect such repatriation through the Formal Exchange Market (</w:t>
      </w:r>
      <w:r>
        <w:rPr>
          <w:rFonts w:ascii="sans-serif" w:hAnsi="sans-serif"/>
          <w:b w:val="false"/>
          <w:i/>
          <w:color w:val="000000"/>
          <w:sz w:val="24"/>
        </w:rPr>
        <w:t>i.e</w:t>
      </w:r>
      <w:r>
        <w:rPr>
          <w:rFonts w:ascii="sans-serif" w:hAnsi="sans-serif"/>
          <w:b w:val="false"/>
          <w:color w:val="000000"/>
          <w:sz w:val="24"/>
        </w:rPr>
        <w:t>., a commercial bank or registered foreign exchange office). In such case, Participant must report the payment to the commercial bank or registered foreign exchange office receiving the funds.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Further, if the value of Participant’s aggregate investments held outside of Chile exceeds a certain threshold (currently, US$5,000,000) (including the value of shares of Common Stock acquired under the Plan), Participant must report the status of such investments annually to the Central Bank using Annex 3.1 of Chapter XII of the Foreign Exchange Regulations.</w:t>
      </w:r>
    </w:p>
    <w:p>
      <w:pPr>
        <w:pStyle w:val="TextBody"/>
        <w:bidi w:val="0"/>
        <w:spacing w:lineRule="auto" w:line="333" w:before="0" w:after="240"/>
        <w:jc w:val="both"/>
        <w:rPr/>
      </w:pPr>
      <w:r>
        <w:rPr>
          <w:rFonts w:ascii="sans-serif" w:hAnsi="sans-serif"/>
          <w:b w:val="false"/>
          <w:color w:val="000000"/>
          <w:sz w:val="24"/>
          <w:u w:val="single"/>
        </w:rPr>
        <w:t>Foreign Asset/Account Reporting Information</w:t>
      </w:r>
      <w:r>
        <w:rPr>
          <w:rFonts w:ascii="sans-serif" w:hAnsi="sans-serif"/>
          <w:b/>
          <w:color w:val="000000"/>
          <w:sz w:val="24"/>
        </w:rPr>
        <w:t>.</w:t>
      </w:r>
      <w:r>
        <w:rPr>
          <w:color w:val="000000"/>
        </w:rPr>
        <w:t xml:space="preserve"> </w:t>
      </w:r>
      <w:r>
        <w:rPr>
          <w:rFonts w:ascii="sans-serif" w:hAnsi="sans-serif"/>
          <w:b w:val="false"/>
          <w:color w:val="000000"/>
          <w:sz w:val="24"/>
        </w:rPr>
        <w:t xml:space="preserve">Chilean taxpayers are required to inform the Chilean Internal Revenue Service (the “CIRS”) annually of (i) the results of investments held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2560"/>
                <wp:effectExtent l="0" t="0" r="0" b="0"/>
                <wp:wrapNone/>
                <wp:docPr id="81" name="Frame7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Appendix-9</w:t>
                      </w:r>
                    </w:p>
                  </w:txbxContent>
                </v:textbox>
                <w10:wrap type="none"/>
              </v:rect>
            </w:pict>
          </mc:Fallback>
        </mc:AlternateContent>
      </w:r>
    </w:p>
    <w:p>
      <w:pPr>
        <w:pStyle w:val="TextBody"/>
        <w:bidi w:val="0"/>
        <w:spacing w:lineRule="auto" w:line="333" w:before="0" w:after="240"/>
        <w:jc w:val="both"/>
        <w:rPr/>
      </w:pPr>
      <w:r>
        <w:rPr>
          <w:rFonts w:ascii="sans-serif" w:hAnsi="sans-serif"/>
          <w:b w:val="false"/>
          <w:color w:val="000000"/>
          <w:sz w:val="24"/>
        </w:rPr>
        <w:t>abroad and (ii) any taxes paid abroad which will be used as credit against Chilean income tax. The Form 1929 disclosing this information must be submitted electronically through the CIRS website (</w:t>
      </w:r>
      <w:r>
        <w:rPr>
          <w:rFonts w:ascii="sans-serif" w:hAnsi="sans-serif"/>
          <w:b w:val="false"/>
          <w:color w:val="0563C1"/>
          <w:sz w:val="24"/>
          <w:u w:val="single"/>
        </w:rPr>
        <w:t>www.sii.cl</w:t>
      </w:r>
      <w:r>
        <w:rPr>
          <w:rFonts w:ascii="sans-serif" w:hAnsi="sans-serif"/>
          <w:b w:val="false"/>
          <w:color w:val="000000"/>
          <w:sz w:val="24"/>
        </w:rPr>
        <w:t>) in accordance with applicable deadlines each year. Chilean taxpayers who fail to meet these requirements may be ineligible to receive certain foreign tax credits.</w:t>
      </w:r>
    </w:p>
    <w:p>
      <w:pPr>
        <w:pStyle w:val="TextBody"/>
        <w:bidi w:val="0"/>
        <w:spacing w:lineRule="auto" w:line="333" w:before="0" w:after="120"/>
        <w:jc w:val="center"/>
        <w:rPr>
          <w:rFonts w:ascii="sans-serif" w:hAnsi="sans-serif"/>
          <w:b/>
          <w:color w:val="010000"/>
          <w:sz w:val="24"/>
          <w:u w:val="single"/>
        </w:rPr>
      </w:pPr>
      <w:r>
        <w:rPr>
          <w:rFonts w:ascii="sans-serif" w:hAnsi="sans-serif"/>
          <w:b/>
          <w:color w:val="010000"/>
          <w:sz w:val="24"/>
          <w:u w:val="single"/>
        </w:rPr>
        <w:t>CHINA</w:t>
      </w:r>
    </w:p>
    <w:p>
      <w:pPr>
        <w:pStyle w:val="TextBody"/>
        <w:bidi w:val="0"/>
        <w:spacing w:lineRule="auto" w:line="333" w:before="0" w:after="12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120"/>
        <w:jc w:val="both"/>
        <w:rPr/>
      </w:pPr>
      <w:r>
        <w:rPr>
          <w:rFonts w:ascii="sans-serif" w:hAnsi="sans-serif"/>
          <w:b w:val="false"/>
          <w:i/>
          <w:color w:val="000000"/>
          <w:sz w:val="24"/>
        </w:rPr>
        <w:t>The following provisions govern participation in the Plan if Participant is subject to exchange control regulations in the People’s Republic of China (“</w:t>
      </w:r>
      <w:r>
        <w:rPr>
          <w:rFonts w:ascii="sans-serif" w:hAnsi="sans-serif"/>
          <w:b/>
          <w:i/>
          <w:color w:val="000000"/>
          <w:sz w:val="24"/>
        </w:rPr>
        <w:t>China</w:t>
      </w:r>
      <w:r>
        <w:rPr>
          <w:color w:val="000000"/>
        </w:rPr>
        <w:t>”</w:t>
      </w:r>
      <w:r>
        <w:rPr>
          <w:rFonts w:ascii="sans-serif" w:hAnsi="sans-serif"/>
          <w:b w:val="false"/>
          <w:i/>
          <w:color w:val="000000"/>
          <w:sz w:val="24"/>
        </w:rPr>
        <w:t xml:space="preserve">), as determined by the Company in its sole discretion: </w:t>
      </w:r>
    </w:p>
    <w:p>
      <w:pPr>
        <w:pStyle w:val="TextBody"/>
        <w:bidi w:val="0"/>
        <w:spacing w:lineRule="auto" w:line="333" w:before="0" w:after="240"/>
        <w:jc w:val="both"/>
        <w:rPr/>
      </w:pPr>
      <w:r>
        <w:rPr>
          <w:rFonts w:ascii="sans-serif" w:hAnsi="sans-serif"/>
          <w:b/>
          <w:color w:val="000000"/>
          <w:sz w:val="24"/>
        </w:rPr>
        <w:t>Mandatory Sale Restriction</w:t>
      </w:r>
      <w:r>
        <w:rPr>
          <w:rFonts w:ascii="sans-serif" w:hAnsi="sans-serif"/>
          <w:b w:val="false"/>
          <w:color w:val="000000"/>
          <w:sz w:val="24"/>
        </w:rPr>
        <w:t>.</w:t>
      </w:r>
      <w:r>
        <w:rPr>
          <w:color w:val="000000"/>
        </w:rPr>
        <w:t xml:space="preserve"> </w:t>
      </w:r>
      <w:r>
        <w:rPr>
          <w:rFonts w:ascii="sans-serif" w:hAnsi="sans-serif"/>
          <w:b w:val="false"/>
          <w:color w:val="000000"/>
          <w:sz w:val="24"/>
        </w:rPr>
        <w:t>This provision supplements the Appendix of the Restricted Stock Unit Agreement.</w:t>
      </w:r>
    </w:p>
    <w:p>
      <w:pPr>
        <w:pStyle w:val="TextBody"/>
        <w:bidi w:val="0"/>
        <w:spacing w:lineRule="auto" w:line="333" w:before="0" w:after="240"/>
        <w:jc w:val="both"/>
        <w:rPr/>
      </w:pPr>
      <w:r>
        <w:rPr>
          <w:rFonts w:ascii="sans-serif" w:hAnsi="sans-serif"/>
          <w:b w:val="false"/>
          <w:color w:val="000000"/>
          <w:sz w:val="24"/>
        </w:rPr>
        <w:t>Due to local regulatory requirements, Participant agrees that the Company may force the sale of any shares of Common Stock to be issued to Participant upon settlement of the Award. The sale may occur (i) immediately upon vesting, (ii) following Participant’s Termination of Service, (iii) following the transfer to another Subsidiary outside of China, or (iv) within any other timeframe the Company determines to be necessary or advisable to comply with local regulatory requirements. Participant agrees that Participant must maintain any shares of Common Stock acquired under the Plan in an account at a broker designated by the Company (“</w:t>
      </w:r>
      <w:r>
        <w:rPr>
          <w:rFonts w:ascii="sans-serif" w:hAnsi="sans-serif"/>
          <w:b/>
          <w:i/>
          <w:color w:val="000000"/>
          <w:sz w:val="24"/>
        </w:rPr>
        <w:t>Designated Account</w:t>
      </w:r>
      <w:r>
        <w:rPr>
          <w:color w:val="000000"/>
        </w:rPr>
        <w:t>”</w:t>
      </w:r>
      <w:r>
        <w:rPr>
          <w:rFonts w:ascii="sans-serif" w:hAnsi="sans-serif"/>
          <w:b w:val="false"/>
          <w:color w:val="000000"/>
          <w:sz w:val="24"/>
        </w:rPr>
        <w:t>). All such shares of Common Stock deposited in the Designated Account cannot be transferred out of that Designated Account. Within three (3) months after Participant’s Termination of Service for any reason (or such other period as determined by the Company in its sole discretion), Participant must sell all shares of Common Stock acquired under the Plan. The Company will direct the automatic sale of any such shares of Common Stock remaining in the Designated Account at the expiration of this three (3) month period (or such other period as determined by the Company in its sole discretion).</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Participant agrees that the Company is authorized to instruct its designated broker to assist with the mandatory sale of such shares of Common Stock (on Participant’s behalf pursuant to this authorization) and Participant expressly authorizes the Company’s designated broker to complete the sale of such shares of Common Stock. Participant acknowledges that the Company’s designated broker is under no obligation to arrange for the sale of the shares of Common Stock at any particular price. Upon the sale of the shares of Common Stock, the Company agrees to pay Participant the cash proceeds from the sale, less any brokerage fees or commissions and subject to any obligation to satisfy Tax-Related Items. Participant agrees that if Participant sells shares of Common Stock that Participant acquires under the Plan, the repatriation requirements described below shall apply.</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2560"/>
                <wp:effectExtent l="0" t="0" r="0" b="0"/>
                <wp:wrapNone/>
                <wp:docPr id="82" name="Frame8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Appendix-10</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If Participant transfers to a Subsidiary in China or transfers from a Subsidiary in China to another Subsidiary outside of China, Participant may become or remain subject to the requirements set forth in this Addendum, as determined by the Company in its sole discretion. The Company reserves the right to suspend Participant’s participation in the Plan or take such other measures as it deems necessary or advisable to comply with local regulations.</w:t>
      </w:r>
    </w:p>
    <w:p>
      <w:pPr>
        <w:pStyle w:val="TextBody"/>
        <w:bidi w:val="0"/>
        <w:spacing w:lineRule="auto" w:line="333" w:before="0" w:after="240"/>
        <w:jc w:val="both"/>
        <w:rPr/>
      </w:pPr>
      <w:r>
        <w:rPr>
          <w:rFonts w:ascii="sans-serif" w:hAnsi="sans-serif"/>
          <w:b/>
          <w:color w:val="000000"/>
          <w:sz w:val="24"/>
        </w:rPr>
        <w:t>Exchange Control Requirements</w:t>
      </w:r>
      <w:r>
        <w:rPr>
          <w:rFonts w:ascii="sans-serif" w:hAnsi="sans-serif"/>
          <w:b w:val="false"/>
          <w:color w:val="000000"/>
          <w:sz w:val="24"/>
        </w:rPr>
        <w:t>. Participant understands and agrees that Participant’s participation in the Plan and the vesting of Awards is subject to the continued registration and compliance of the Plan with applicable exchange control regulations in China. If the registration of the Plan lapses or the Company determines, in its discretion, that the Award cannot vest due to regulatory restrictions, Participant agrees that Participant’s participation in the Plan may be suspended, terminated or otherwise modified to ensure compliance with applicable laws and regulations.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Participant understands and agrees that, pursuant to local exchange control requirements, Participant will be required to repatriate the cash proceeds from the mandatory sale of the shares of Common Stock issued upon vesting of the Award as well as any cash dividends paid on such shares of Common Stock to China. Participant further understands that, under local law, such repatriation of cash proceeds may need to be effectuated through a special exchange control account established by the Company, the Employer or any other Subsidiary, and Participant hereby consents and agrees that any proceeds from the sale of any shares of Common Stock issued upon vesting of the Award as well as any cash dividends paid on such shares of Common Stock may be transferred to such special account prior to being delivered to Participant. Participant agrees to sign any agreements, forms and/or consents that may be reasonably requested by the Company (or the Company’s designated broker) to effectuate any of the remittances, transfers, conversions or other processes affecting the proceeds. Participant further agrees to comply with any other requirements that may be imposed by the Company in the future in order to facilitate compliance with exchange control requirements in China.</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Finally, Participant understands and agrees that the Company is under no obligation to secure any particular exchange conversion rate and there may be delays in converting the cash proceeds to local currency due to exchange control restrictions. Participant agrees to bear any currency fluctuation risk between the time the shares of Common Stock are sold or dividends are paid and the time the cash proceeds are distributed to Participant through the special account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2560"/>
                <wp:effectExtent l="0" t="0" r="0" b="0"/>
                <wp:wrapNone/>
                <wp:docPr id="83" name="Frame8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Appendix-11</w:t>
                      </w:r>
                    </w:p>
                  </w:txbxContent>
                </v:textbox>
                <w10:wrap type="none"/>
              </v:rect>
            </w:pict>
          </mc:Fallback>
        </mc:AlternateConten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CZECH REPUBLIC</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Czech residents may be required to fulfill certain notification duties in relation to the Award and the opening and maintenance of a foreign account. Such notification will be required if the aggregate value of Participant’s foreign direct investments reaches a certain threshold (currently, CZK 2,500,000) or more, Participant has a certain threshold of foreign financial assets, or Participant is specifically requested to do so by the Czech National Bank. However, because exchange control regulations may change without notice, Participant should consult Participant’s personal legal advisor prior to the settlement of the Award to ensure compliance with current regulations. It is Participant’s responsibility to comply with applicable Czech exchange control laws.</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DENMARK</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Danish Stock Option Act</w:t>
      </w:r>
      <w:r>
        <w:rPr>
          <w:rFonts w:ascii="sans-serif" w:hAnsi="sans-serif"/>
          <w:b w:val="false"/>
          <w:color w:val="000000"/>
          <w:sz w:val="24"/>
        </w:rPr>
        <w:t>. By participating in the Plan, Participant acknowledges that Participant has received an Employer Statement translated into Danish, which is being provided to comply with the Danish Stock Option Act (the “</w:t>
      </w:r>
      <w:r>
        <w:rPr>
          <w:rFonts w:ascii="sans-serif" w:hAnsi="sans-serif"/>
          <w:b/>
          <w:i/>
          <w:color w:val="000000"/>
          <w:sz w:val="24"/>
        </w:rPr>
        <w:t>Act</w:t>
      </w:r>
      <w:r>
        <w:rPr>
          <w:color w:val="000000"/>
        </w:rPr>
        <w:t>”</w:t>
      </w:r>
      <w:r>
        <w:rPr>
          <w:rFonts w:ascii="sans-serif" w:hAnsi="sans-serif"/>
          <w:b w:val="false"/>
          <w:color w:val="000000"/>
          <w:sz w:val="24"/>
        </w:rPr>
        <w:t xml:space="preserve">).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The Act applies only to “employees” as that term is defined in Section 2 of the Act. If Participant is a member of the registered management of a Subsidiary in Denmark or otherwise does not satisfy the definition of employee, Participant is not subject to the Act and the Employer Statement will not apply to Participant.</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Further, the Act has been revised with effect from 1 January 2019. As a result of the amendments, the termination provisions under the Plan and the Agreement will apply for any Awards granted after 1 January 2019. The relevant termination provisions are detailed in the Plan, the Agreement and the Employer Statement.</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50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w:t>
      </w:r>
      <w:r>
        <w:rPr>
          <w:color w:val="000000"/>
        </w:rPr>
        <w:t xml:space="preserve"> </w:t>
      </w:r>
      <w:r>
        <w:rPr>
          <w:rFonts w:ascii="sans-serif" w:hAnsi="sans-serif"/>
          <w:b w:val="false"/>
          <w:color w:val="000000"/>
          <w:sz w:val="24"/>
        </w:rPr>
        <w:t>If Participant establishes a foreign bank or brokerage account, Participant must report the deposits and shares of Common Stock held in such foreign bank or brokerage account in Participant’s tax return under the section on foreign affairs and income. The form which should be used in this respect can be obtained from a local bank.</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2560"/>
                <wp:effectExtent l="0" t="0" r="0" b="0"/>
                <wp:wrapNone/>
                <wp:docPr id="84" name="Frame8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Appendix-12</w:t>
                      </w:r>
                    </w:p>
                  </w:txbxContent>
                </v:textbox>
                <w10:wrap type="none"/>
              </v:rect>
            </w:pict>
          </mc:Fallback>
        </mc:AlternateContent>
      </w:r>
    </w:p>
    <w:p>
      <w:pPr>
        <w:pStyle w:val="TextBody"/>
        <w:bidi w:val="0"/>
        <w:spacing w:lineRule="auto" w:line="333" w:before="0" w:after="0"/>
        <w:jc w:val="center"/>
        <w:rPr>
          <w:rFonts w:ascii="sans-serif" w:hAnsi="sans-serif"/>
          <w:b/>
          <w:color w:val="000000"/>
          <w:sz w:val="24"/>
          <w:u w:val="single"/>
        </w:rPr>
      </w:pPr>
      <w:r>
        <w:rPr>
          <w:rFonts w:ascii="sans-serif" w:hAnsi="sans-serif"/>
          <w:b/>
          <w:color w:val="000000"/>
          <w:sz w:val="24"/>
          <w:u w:val="single"/>
        </w:rPr>
        <w:t>FRANCE</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Language Consent.</w:t>
      </w:r>
      <w:r>
        <w:rPr>
          <w:color w:val="000000"/>
        </w:rPr>
        <w:t xml:space="preserve"> </w:t>
      </w:r>
      <w:r>
        <w:rPr>
          <w:rFonts w:ascii="sans-serif" w:hAnsi="sans-serif"/>
          <w:b w:val="false"/>
          <w:color w:val="000000"/>
          <w:sz w:val="24"/>
        </w:rPr>
        <w:t>In accepting the RSUs, Participant confirms having read and understood the documents relating to the RSUs (the Plan and this Agreement), which were provided in English. Participant accepts the terms of these documents accordingly.</w:t>
      </w:r>
    </w:p>
    <w:p>
      <w:pPr>
        <w:pStyle w:val="TextBody"/>
        <w:bidi w:val="0"/>
        <w:spacing w:lineRule="atLeast" w:line="288" w:before="0" w:after="240"/>
        <w:jc w:val="both"/>
        <w:rPr/>
      </w:pPr>
      <w:r>
        <w:rPr>
          <w:rFonts w:ascii="sans-serif" w:hAnsi="sans-serif"/>
          <w:b w:val="false"/>
          <w:color w:val="000000"/>
          <w:sz w:val="24"/>
          <w:u w:val="single"/>
        </w:rPr>
        <w:t>Consentement relatif à la langue utilisée</w:t>
      </w:r>
      <w:r>
        <w:rPr>
          <w:rFonts w:ascii="sans-serif" w:hAnsi="sans-serif"/>
          <w:b w:val="false"/>
          <w:i/>
          <w:color w:val="000000"/>
          <w:sz w:val="24"/>
        </w:rPr>
        <w:t>. En acceptant le Unités Stock Restreintes, le Participant confirme avoir lu et compris les documents relatifs aux le Unités Stock Restreintes (le Plan et la présente Convention), qui ont été fournis en anglais. Le Participant accepte les termes de ces documents en conséquence</w:t>
      </w:r>
      <w:r>
        <w:rPr>
          <w:rFonts w:ascii="sans-serif" w:hAnsi="sans-serif"/>
          <w:b w:val="false"/>
          <w:color w:val="000000"/>
          <w:sz w:val="24"/>
        </w:rPr>
        <w:t>.</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Non-Qualified Nature of Award</w:t>
      </w:r>
      <w:r>
        <w:rPr>
          <w:rFonts w:ascii="sans-serif" w:hAnsi="sans-serif"/>
          <w:b w:val="false"/>
          <w:color w:val="000000"/>
          <w:sz w:val="24"/>
        </w:rPr>
        <w:t xml:space="preserve">. </w:t>
      </w:r>
      <w:r>
        <w:rPr>
          <w:rFonts w:ascii="sans-serif" w:hAnsi="sans-serif"/>
          <w:b w:val="false"/>
          <w:color w:val="000000"/>
          <w:sz w:val="24"/>
          <w:shd w:fill="FFFFFF" w:val="clear"/>
        </w:rPr>
        <w:t>The Award granted pursuant to the Agreement is not intended to be “French-qualified” and is ineligible for specific tax and/or social security treatment in France under Sections L. 225-197-1 to L. 225-197-5 and Sections L. 22-10-59 to L. 22-10-60 of the French Commercial Code, as amended.</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w:t>
      </w:r>
      <w:r>
        <w:rPr>
          <w:color w:val="000000"/>
        </w:rPr>
        <w:t xml:space="preserve"> </w:t>
      </w:r>
      <w:r>
        <w:rPr>
          <w:rFonts w:ascii="sans-serif" w:hAnsi="sans-serif"/>
          <w:b w:val="false"/>
          <w:color w:val="000000"/>
          <w:sz w:val="24"/>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 Participant should consult with Participant’s personal advisor(s) regarding any personal legal, regulatory or foreign exchange obligations Participant may have in connection with Participant’s participation in the Plan.</w:t>
      </w:r>
    </w:p>
    <w:p>
      <w:pPr>
        <w:pStyle w:val="TextBody"/>
        <w:bidi w:val="0"/>
        <w:spacing w:lineRule="auto" w:line="333"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French residents must report annually any shares and bank accounts held outside France, including the accounts that were opened, used and/or closed during the tax year, to the French tax authorities, on an annual basis on a special Form N° 3916, together with Participant’s personal income tax return. Failure to report triggers a significant penalty. Participant should consult with Participant’s personal advisor(s) regarding any personal foreign asset/foreign account tax obligations Participant may have in connection with Participant’s participation in the Plan.</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GERMANY</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10000"/>
          <w:sz w:val="24"/>
          <w:u w:val="single"/>
        </w:rPr>
        <w:t>Tax Obligations</w:t>
      </w:r>
      <w:r>
        <w:rPr>
          <w:rFonts w:ascii="sans-serif" w:hAnsi="sans-serif"/>
          <w:b w:val="false"/>
          <w:color w:val="010000"/>
          <w:sz w:val="24"/>
        </w:rPr>
        <w:t>. The following provision supplements Section 3.3 of the Agreement:</w:t>
      </w:r>
    </w:p>
    <w:p>
      <w:pPr>
        <w:pStyle w:val="TextBody"/>
        <w:bidi w:val="0"/>
        <w:spacing w:lineRule="auto" w:line="333" w:before="0" w:after="240"/>
        <w:jc w:val="both"/>
        <w:rPr/>
      </w:pPr>
      <w:r>
        <w:rPr>
          <w:rFonts w:ascii="sans-serif" w:hAnsi="sans-serif"/>
          <w:b w:val="false"/>
          <w:color w:val="000000"/>
          <w:sz w:val="24"/>
        </w:rPr>
        <w:t>Each Participant who is either (a) resident for tax purposes in Germany or (b) otherwise subject to German income tax and/or social security contributions (the “</w:t>
      </w:r>
      <w:r>
        <w:rPr>
          <w:rFonts w:ascii="sans-serif" w:hAnsi="sans-serif"/>
          <w:b/>
          <w:i/>
          <w:color w:val="000000"/>
          <w:sz w:val="24"/>
        </w:rPr>
        <w:t>German Participant</w:t>
      </w:r>
      <w:r>
        <w:rPr>
          <w:color w:val="000000"/>
        </w:rPr>
        <w:t>”</w:t>
      </w:r>
      <w:r>
        <w:rPr>
          <w:rFonts w:ascii="sans-serif" w:hAnsi="sans-serif"/>
          <w:b w:val="false"/>
          <w:color w:val="000000"/>
          <w:sz w:val="24"/>
        </w:rPr>
        <w:t xml:space="preserve">) in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2560"/>
                <wp:effectExtent l="0" t="0" r="0" b="0"/>
                <wp:wrapNone/>
                <wp:docPr id="85" name="Frame8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Appendix-13</w:t>
                      </w:r>
                    </w:p>
                  </w:txbxContent>
                </v:textbox>
                <w10:wrap type="none"/>
              </v:rect>
            </w:pict>
          </mc:Fallback>
        </mc:AlternateContent>
      </w:r>
    </w:p>
    <w:p>
      <w:pPr>
        <w:pStyle w:val="TextBody"/>
        <w:bidi w:val="0"/>
        <w:spacing w:lineRule="auto" w:line="333" w:before="0" w:after="240"/>
        <w:jc w:val="both"/>
        <w:rPr/>
      </w:pPr>
      <w:r>
        <w:rPr>
          <w:rFonts w:ascii="sans-serif" w:hAnsi="sans-serif"/>
          <w:b w:val="false"/>
          <w:color w:val="000000"/>
          <w:sz w:val="24"/>
        </w:rPr>
        <w:t>respect of earnings received from the Company or any of its affiliates being the Participant’s employing entity (the “</w:t>
      </w:r>
      <w:r>
        <w:rPr>
          <w:rFonts w:ascii="sans-serif" w:hAnsi="sans-serif"/>
          <w:b/>
          <w:i/>
          <w:color w:val="000000"/>
          <w:sz w:val="24"/>
        </w:rPr>
        <w:t>Employer</w:t>
      </w:r>
      <w:r>
        <w:rPr>
          <w:color w:val="000000"/>
        </w:rPr>
        <w:t>”</w:t>
      </w:r>
      <w:r>
        <w:rPr>
          <w:rFonts w:ascii="sans-serif" w:hAnsi="sans-serif"/>
          <w:b w:val="false"/>
          <w:color w:val="000000"/>
          <w:sz w:val="24"/>
        </w:rPr>
        <w:t>), if different shall notify the Employer of their participation in the Plan and any grant, exercise, vesting, issuance or payment under the Plan.</w:t>
      </w:r>
    </w:p>
    <w:p>
      <w:pPr>
        <w:pStyle w:val="TextBody"/>
        <w:bidi w:val="0"/>
        <w:spacing w:lineRule="auto" w:line="333" w:before="0" w:after="0"/>
        <w:jc w:val="both"/>
        <w:rPr>
          <w:rFonts w:ascii="sans-serif" w:hAnsi="sans-serif"/>
          <w:b w:val="false"/>
          <w:color w:val="000000"/>
          <w:sz w:val="24"/>
        </w:rPr>
      </w:pPr>
      <w:r>
        <w:rPr>
          <w:rFonts w:ascii="sans-serif" w:hAnsi="sans-serif"/>
          <w:b w:val="false"/>
          <w:color w:val="000000"/>
          <w:sz w:val="24"/>
        </w:rPr>
        <w:t>The German Participant shall indemnify and hold harmless the Employer from and against any liability for or obligation to pay any Tax Liability arising in connection with the German Participant’s participation in the Plan.</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The Employer shall have the authority and the right to deduct or withhold or require the German Participant to remit to the Employer, an amount sufficient to satisfy any Tax Liability required to be withheld and/or paid including, without limitation, the authority to deduct such amount from other compensation payable to the German Participant by the Employer. </w:t>
      </w:r>
    </w:p>
    <w:p>
      <w:pPr>
        <w:pStyle w:val="TextBody"/>
        <w:bidi w:val="0"/>
        <w:spacing w:lineRule="auto" w:line="333" w:before="0" w:after="240"/>
        <w:jc w:val="both"/>
        <w:rPr/>
      </w:pPr>
      <w:r>
        <w:rPr>
          <w:color w:val="000000"/>
        </w:rPr>
        <w:t>„</w:t>
      </w:r>
      <w:r>
        <w:rPr>
          <w:rFonts w:ascii="sans-serif" w:hAnsi="sans-serif"/>
          <w:b/>
          <w:i/>
          <w:color w:val="000000"/>
          <w:sz w:val="24"/>
        </w:rPr>
        <w:t>Tax Liability</w:t>
      </w:r>
      <w:r>
        <w:rPr>
          <w:color w:val="000000"/>
        </w:rPr>
        <w:t xml:space="preserve">“ </w:t>
      </w:r>
      <w:r>
        <w:rPr>
          <w:rFonts w:ascii="sans-serif" w:hAnsi="sans-serif"/>
          <w:b w:val="false"/>
          <w:color w:val="000000"/>
          <w:sz w:val="24"/>
        </w:rPr>
        <w:t>shall be any liability for income tax, wage tax, solidarity surcharge, employee share of social security contributions, church tax, VAT and any other service or employment related taxes (as applicable), and in this regard also the German Participant’s portions arising as a result of the Plan. Whenever Awards are granted or paid, the Company or the Employer shall notify the German Participant of the amount of Tax Liability, if any, which must be withheld by the Employer under applicable tax laws. For the purposes of withholding, fair market value shall be determined under applicable German law and its interpretation by the German tax authorities.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The German Participant understands that they may suffer adverse tax consequences as a result of the Awards which may exceed the amount, if any, actually withheld by the Company or the Employer. Neither the Company nor the Employer or any Subsidiary makes any representation or undertaking regarding the treatment of any tax withholding in connection with the granting, vesting, exercise, issuance or payment of Awards. The Company, the Employer and the Subsidiaries do not commit and are under no obligation to structure any Awards to reduce or eliminate the German Participant’s Tax Liability. The German Participant represents that the German Participant has had the opportunity to consult with any tax consultants the German Participant deems advisable in connection with the Awards and that the German Participant is not relying on the Company or the Employer for any tax advice. The German Participant is relying solely on such advisors and not on any statements or representations of the Company, the German Participant’s Employer or any of their agents.</w:t>
      </w:r>
    </w:p>
    <w:p>
      <w:pPr>
        <w:pStyle w:val="TextBody"/>
        <w:bidi w:val="0"/>
        <w:spacing w:lineRule="auto" w:line="333" w:before="0" w:after="240"/>
        <w:jc w:val="both"/>
        <w:rPr/>
      </w:pPr>
      <w:r>
        <w:rPr>
          <w:rFonts w:ascii="sans-serif" w:hAnsi="sans-serif"/>
          <w:b w:val="false"/>
          <w:color w:val="000000"/>
          <w:sz w:val="24"/>
          <w:u w:val="single"/>
        </w:rPr>
        <w:t>Labor Law Acknowledgment</w:t>
      </w:r>
      <w:r>
        <w:rPr>
          <w:rFonts w:ascii="sans-serif" w:hAnsi="sans-serif"/>
          <w:b w:val="false"/>
          <w:color w:val="000000"/>
          <w:sz w:val="24"/>
        </w:rPr>
        <w:t xml:space="preserve">. The German Participant acknowledges that (i) any Awards granted pursuant to the Plan are discretionary, (ii) the Plan and any supplementary agreements are not a part of the terms and conditions of the German Participant’s employment with the Employer and (iii) the income from the Awards, if any, is not part of the German Participant’s entitlement to remuneration from the Employer and is not to be considered in valuing employment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2560"/>
                <wp:effectExtent l="0" t="0" r="0" b="0"/>
                <wp:wrapNone/>
                <wp:docPr id="86" name="Frame8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Appendix-14</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or severance payable in the event of the termination of the German Participant’s employment with the Employer.</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Cross-border payments in connection with the sale of securities in excess of EUR 12,500 must be reported monthly by accessing the electronic General Statistics Reporting Portal (</w:t>
      </w:r>
      <w:r>
        <w:rPr>
          <w:rFonts w:ascii="sans-serif" w:hAnsi="sans-serif"/>
          <w:b w:val="false"/>
          <w:i/>
          <w:color w:val="000000"/>
          <w:sz w:val="24"/>
        </w:rPr>
        <w:t>Allgemeines Meldeportal Statistik</w:t>
      </w:r>
      <w:r>
        <w:rPr>
          <w:rFonts w:ascii="sans-serif" w:hAnsi="sans-serif"/>
          <w:b w:val="false"/>
          <w:color w:val="000000"/>
          <w:sz w:val="24"/>
        </w:rPr>
        <w:t>) via the Bundesbank’s website (</w:t>
      </w:r>
      <w:r>
        <w:rPr>
          <w:rFonts w:ascii="sans-serif" w:hAnsi="sans-serif"/>
          <w:b w:val="false"/>
          <w:color w:val="0563C1"/>
          <w:sz w:val="24"/>
          <w:u w:val="single"/>
        </w:rPr>
        <w:t>www.bundesbank.de</w:t>
      </w:r>
      <w:r>
        <w:rPr>
          <w:rFonts w:ascii="sans-serif" w:hAnsi="sans-serif"/>
          <w:b w:val="false"/>
          <w:color w:val="000000"/>
          <w:sz w:val="24"/>
        </w:rPr>
        <w:t>). In addition, Participant may be required to report the acquisition of securities if the value of the securities acquired exceeds EUR 12,500 to the Bundesbank via email or telephone.</w:t>
      </w:r>
    </w:p>
    <w:p>
      <w:pPr>
        <w:pStyle w:val="TextBody"/>
        <w:bidi w:val="0"/>
        <w:spacing w:lineRule="auto" w:line="333" w:before="0" w:after="24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German residents must notify their local tax office of the acquisition of Shares when they file their personal income tax returns for the relevant year if the value of the Shares acquired exceeds EUR 150,000 or in the unlikely event that the resident holds Shares exceeding 10% of the Company’s total Shares outstanding. However, if the Shares are listed on a recognized U.S. stock exchange and Participant owns less than 1% of the total Stock, this requirement will not apply even if Shares with a value exceeding EUR 150,000 are acquired. Participant should consult with Participant’s personal advisor(s) regarding any personal foreign asset/foreign account tax obligations Participant may have in connection with Participant’s participation in the Plan.</w:t>
      </w:r>
    </w:p>
    <w:p>
      <w:pPr>
        <w:pStyle w:val="TextBody"/>
        <w:bidi w:val="0"/>
        <w:spacing w:lineRule="auto" w:line="333" w:before="0" w:after="240"/>
        <w:jc w:val="both"/>
        <w:rPr/>
      </w:pPr>
      <w:r>
        <w:rPr>
          <w:rFonts w:ascii="sans-serif" w:hAnsi="sans-serif"/>
          <w:b w:val="false"/>
          <w:color w:val="000000"/>
          <w:sz w:val="24"/>
          <w:u w:val="single"/>
        </w:rPr>
        <w:t>Insider Trading</w:t>
      </w:r>
      <w:r>
        <w:rPr>
          <w:rFonts w:ascii="sans-serif" w:hAnsi="sans-serif"/>
          <w:b w:val="false"/>
          <w:color w:val="000000"/>
          <w:sz w:val="24"/>
        </w:rPr>
        <w:t>. By accepting the Awards, the German Participant acknowledges that they may be subject to insider trading rules, which may affect the sale of shares acquired upon under the Plan. German securities laws prohibit insider trading according to Article 14 of the Market Abuse Regulation (VO (EU) 596/2014) if the shares are traded, admitted or for which admission on trading has been requested on a trading venue in the European Union.</w:t>
      </w:r>
    </w:p>
    <w:p>
      <w:pPr>
        <w:pStyle w:val="TextBody"/>
        <w:bidi w:val="0"/>
        <w:spacing w:lineRule="auto" w:line="333"/>
        <w:jc w:val="both"/>
        <w:rPr/>
      </w:pPr>
      <w:r>
        <w:rPr>
          <w:rFonts w:ascii="sans-serif" w:hAnsi="sans-serif"/>
          <w:b w:val="false"/>
          <w:color w:val="000000"/>
          <w:sz w:val="24"/>
          <w:u w:val="single"/>
        </w:rPr>
        <w:t>Data Protection</w:t>
      </w:r>
      <w:r>
        <w:rPr>
          <w:rFonts w:ascii="sans-serif" w:hAnsi="sans-serif"/>
          <w:b w:val="false"/>
          <w:color w:val="000000"/>
          <w:sz w:val="24"/>
        </w:rPr>
        <w:t>. This provision replaces the section of the Appendix incorporating Section 11.8 of the Plan (“</w:t>
      </w:r>
      <w:r>
        <w:rPr>
          <w:rFonts w:ascii="sans-serif" w:hAnsi="sans-serif"/>
          <w:b/>
          <w:i/>
          <w:color w:val="000000"/>
          <w:sz w:val="24"/>
        </w:rPr>
        <w:t>Data Privacy</w:t>
      </w:r>
      <w:r>
        <w:rPr>
          <w:color w:val="000000"/>
        </w:rPr>
        <w:t>”</w:t>
      </w:r>
      <w:r>
        <w:rPr>
          <w:rFonts w:ascii="sans-serif" w:hAnsi="sans-serif"/>
          <w:b w:val="false"/>
          <w:color w:val="000000"/>
          <w:sz w:val="24"/>
        </w:rPr>
        <w:t>), which shall be disregarded in its entirety. The Company acts as controller in relation to the personal data which may be shared by the German Participant under the Plan, the Agreement and this Appendix. Such personal data will be processed in compliance with applicable data protection laws, in particular the EU General Data Protection Regulation (EU) 2016/679 (“</w:t>
      </w:r>
      <w:r>
        <w:rPr>
          <w:rFonts w:ascii="sans-serif" w:hAnsi="sans-serif"/>
          <w:b/>
          <w:i/>
          <w:color w:val="000000"/>
          <w:sz w:val="24"/>
        </w:rPr>
        <w:t>GDPR</w:t>
      </w:r>
      <w:r>
        <w:rPr>
          <w:color w:val="000000"/>
        </w:rPr>
        <w:t>”</w:t>
      </w:r>
      <w:r>
        <w:rPr>
          <w:rFonts w:ascii="sans-serif" w:hAnsi="sans-serif"/>
          <w:b w:val="false"/>
          <w:color w:val="000000"/>
          <w:sz w:val="24"/>
        </w:rPr>
        <w:t xml:space="preserve">). The Company independently determines the purposes and means for which personal data is processed under the Plan. To perform the Plan and to comply with the provisions therein and statutory retention obligations, the Company must collect, store, and otherwise process certain personal data of the German Participant (e.g. including, name contact details, and bank account details). Further information about the processing of personal data is set out in the privacy notice attached hereto as </w:t>
      </w:r>
      <w:r>
        <w:rPr>
          <w:rFonts w:ascii="sans-serif" w:hAnsi="sans-serif"/>
          <w:b w:val="false"/>
          <w:color w:val="000000"/>
          <w:sz w:val="24"/>
          <w:u w:val="single"/>
        </w:rPr>
        <w:t>Exhibit 1</w:t>
      </w:r>
      <w:r>
        <w:rPr>
          <w:rFonts w:ascii="sans-serif" w:hAnsi="sans-serif"/>
          <w:b w:val="false"/>
          <w:color w:val="000000"/>
          <w:sz w:val="24"/>
        </w:rPr>
        <w:t xml:space="preserve">. For any eligible Participants located in Germany who sign a declaration of consent as provided by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2560"/>
                <wp:effectExtent l="0" t="0" r="0" b="0"/>
                <wp:wrapNone/>
                <wp:docPr id="87" name="Frame8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Appendix-15</w:t>
                      </w:r>
                    </w:p>
                  </w:txbxContent>
                </v:textbox>
                <w10:wrap type="none"/>
              </v:rect>
            </w:pict>
          </mc:Fallback>
        </mc:AlternateContent>
      </w:r>
    </w:p>
    <w:p>
      <w:pPr>
        <w:pStyle w:val="TextBody"/>
        <w:bidi w:val="0"/>
        <w:spacing w:lineRule="auto" w:line="333" w:before="0" w:after="0"/>
        <w:jc w:val="both"/>
        <w:rPr>
          <w:rFonts w:ascii="sans-serif" w:hAnsi="sans-serif"/>
          <w:b w:val="false"/>
          <w:color w:val="000000"/>
          <w:sz w:val="24"/>
        </w:rPr>
      </w:pPr>
      <w:r>
        <w:rPr>
          <w:rFonts w:ascii="sans-serif" w:hAnsi="sans-serif"/>
          <w:b w:val="false"/>
          <w:color w:val="000000"/>
          <w:sz w:val="24"/>
        </w:rPr>
        <w:t>the Company, the Company or any subsidiary collects and processes personal data related to the Plan based on Participant’s consent.</w:t>
      </w:r>
    </w:p>
    <w:p>
      <w:pPr>
        <w:pStyle w:val="TextBody"/>
        <w:bidi w:val="0"/>
        <w:spacing w:lineRule="auto" w:line="333" w:before="0" w:after="0"/>
        <w:jc w:val="center"/>
        <w:rPr>
          <w:rFonts w:ascii="sans-serif" w:hAnsi="sans-serif"/>
          <w:b/>
          <w:color w:val="000000"/>
          <w:sz w:val="24"/>
          <w:u w:val="single"/>
        </w:rPr>
      </w:pPr>
      <w:r>
        <w:rPr>
          <w:rFonts w:ascii="sans-serif" w:hAnsi="sans-serif"/>
          <w:b/>
          <w:color w:val="000000"/>
          <w:sz w:val="24"/>
          <w:u w:val="single"/>
        </w:rPr>
        <w:t>GREECE</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Cash Settlement</w:t>
      </w:r>
      <w:r>
        <w:rPr>
          <w:rFonts w:ascii="sans-serif" w:hAnsi="sans-serif"/>
          <w:b w:val="false"/>
          <w:color w:val="000000"/>
          <w:sz w:val="24"/>
        </w:rPr>
        <w:t>. Notwithstanding any provision in the Restricted Stock Unit Agreement and the Special Country Provisions for RSUs to the contrary, any vested RSUs and dividend equivalents shall be settled by payment in cash or its equivalent of an amount equal in value to the Shares subject to such RSUs and dividend equivalents (using the closing price per Share on the Nasdaq Stock Market (or other principal exchange on which the Shares then trade) on the trading day immediately prior to the date of settlement). Any references to the issuance of Shares in any documents related to RSUs shall not be applicable. Notwithstanding the foregoing, the Company reserves the right to settle RSUs and/or dividend equivalents in Shares, in its discretion.</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HUNGARY</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Cash Settlement</w:t>
      </w:r>
      <w:r>
        <w:rPr>
          <w:rFonts w:ascii="sans-serif" w:hAnsi="sans-serif"/>
          <w:b/>
          <w:color w:val="000000"/>
          <w:sz w:val="24"/>
        </w:rPr>
        <w:t>.</w:t>
      </w:r>
      <w:r>
        <w:rPr>
          <w:color w:val="000000"/>
        </w:rPr>
        <w:t xml:space="preserve"> </w:t>
      </w:r>
      <w:r>
        <w:rPr>
          <w:rFonts w:ascii="sans-serif" w:hAnsi="sans-serif"/>
          <w:b w:val="false"/>
          <w:color w:val="000000"/>
          <w:sz w:val="24"/>
        </w:rPr>
        <w:t>Notwithstanding any provision in the Restricted Stock Unit Agreement and the Special Country Provisions for RSUs to the contrary, any vested RSUs and dividend equivalents shall be settled by payment in cash or its equivalent of an amount equal in value to the Shares subject to such RSUs and dividend equivalents (using the closing price per Share on the Nasdaq Stock Market (or other principal exchange on which the Shares then trade) on the trading day immediately prior to the date of settlement). Any references to the issuance of Shares in any documents related to RSUs shall not be applicable. Notwithstanding the foregoing, the Company reserves the right to settle RSUs and/or dividend equivalents in Shares, in its discretion.</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IRELAND</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Director Notification Obligation</w:t>
      </w:r>
      <w:r>
        <w:rPr>
          <w:rFonts w:ascii="sans-serif" w:hAnsi="sans-serif"/>
          <w:b w:val="false"/>
          <w:color w:val="000000"/>
          <w:sz w:val="24"/>
        </w:rPr>
        <w:t>. Directors, shadow directors and secretaries of an Irish Subsidiary must notify the Irish Subsidiary in writing upon (i) receiving or disposing of an interest in the Company (</w:t>
      </w:r>
      <w:r>
        <w:rPr>
          <w:rFonts w:ascii="sans-serif" w:hAnsi="sans-serif"/>
          <w:b w:val="false"/>
          <w:i/>
          <w:color w:val="000000"/>
          <w:sz w:val="24"/>
        </w:rPr>
        <w:t>e.g</w:t>
      </w:r>
      <w:r>
        <w:rPr>
          <w:rFonts w:ascii="sans-serif" w:hAnsi="sans-serif"/>
          <w:b w:val="false"/>
          <w:color w:val="000000"/>
          <w:sz w:val="24"/>
        </w:rPr>
        <w:t>., Awards granted under the Plan, shares of Common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the spouse or children under the age of 18 of the director, shadow director or secretary (whose interests will be attributed to the director, shadow director or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2560"/>
                <wp:effectExtent l="0" t="0" r="0" b="0"/>
                <wp:wrapNone/>
                <wp:docPr id="88" name="Frame8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Appendix-16</w:t>
                      </w:r>
                    </w:p>
                  </w:txbxContent>
                </v:textbox>
                <w10:wrap type="none"/>
              </v:rect>
            </w:pict>
          </mc:Fallback>
        </mc:AlternateConten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ISRAEL</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The following provision applies to Participant if Participant is in Israel on the Grant Date.</w:t>
      </w:r>
    </w:p>
    <w:p>
      <w:pPr>
        <w:pStyle w:val="TextBody"/>
        <w:bidi w:val="0"/>
        <w:spacing w:lineRule="auto" w:line="333" w:before="0" w:after="240"/>
        <w:jc w:val="both"/>
        <w:rPr/>
      </w:pPr>
      <w:r>
        <w:rPr>
          <w:rFonts w:ascii="sans-serif" w:hAnsi="sans-serif"/>
          <w:b w:val="false"/>
          <w:color w:val="000000"/>
          <w:sz w:val="24"/>
          <w:u w:val="single"/>
        </w:rPr>
        <w:t>Trust Arrangement</w:t>
      </w:r>
      <w:r>
        <w:rPr>
          <w:rFonts w:ascii="sans-serif" w:hAnsi="sans-serif"/>
          <w:b w:val="false"/>
          <w:color w:val="000000"/>
          <w:sz w:val="24"/>
        </w:rPr>
        <w:t>.</w:t>
      </w:r>
      <w:r>
        <w:rPr>
          <w:color w:val="000000"/>
        </w:rPr>
        <w:t xml:space="preserve"> </w:t>
      </w:r>
      <w:r>
        <w:rPr>
          <w:rFonts w:ascii="sans-serif" w:hAnsi="sans-serif"/>
          <w:b w:val="false"/>
          <w:color w:val="000000"/>
          <w:sz w:val="24"/>
        </w:rPr>
        <w:t>Participant understands and agrees that the Award is offered subject to and in accordance with the terms of the Plan and the Agreement. Participant understands that the Award shall be allocated under the provisions of the track referred to as the “Capital Gain Route,” according to Section 102(b)(2) and 102(b)(3) of the Israeli Income Tax Ordinance (the “</w:t>
      </w:r>
      <w:r>
        <w:rPr>
          <w:rFonts w:ascii="sans-serif" w:hAnsi="sans-serif"/>
          <w:b/>
          <w:i/>
          <w:color w:val="000000"/>
          <w:sz w:val="24"/>
        </w:rPr>
        <w:t>Ordinance</w:t>
      </w:r>
      <w:r>
        <w:rPr>
          <w:color w:val="000000"/>
        </w:rPr>
        <w:t>”</w:t>
      </w:r>
      <w:r>
        <w:rPr>
          <w:rFonts w:ascii="sans-serif" w:hAnsi="sans-serif"/>
          <w:b w:val="false"/>
          <w:color w:val="000000"/>
          <w:sz w:val="24"/>
        </w:rPr>
        <w:t>) and shall be held by the trustee for the periods stated in Section 102. Notwithstanding the foregoing, by accepting the grant of the Restricted Stock Units, Participant acknowledges that the Company cannot guarantee or represent that the tax treatment under Section 102 of the Ordinance will apply to the Restricted Stock Units.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By accepting the grant of Restricted Stock Units, Participant confirms that Participant is familiar with the terms and provisions of Section 102 of the Ordinance, particularly the following restrictions that are included under Section 102 of the Ordinance and which have to be complied with in order to benefit from the provisions of the Capital Gains Route:</w:t>
      </w:r>
    </w:p>
    <w:p>
      <w:pPr>
        <w:pStyle w:val="TextBody"/>
        <w:bidi w:val="0"/>
        <w:spacing w:lineRule="auto" w:line="333" w:before="0" w:after="240"/>
        <w:ind w:left="0" w:right="0" w:hanging="360"/>
        <w:jc w:val="both"/>
        <w:rPr/>
      </w:pPr>
      <w:r>
        <w:rPr>
          <w:rFonts w:ascii="Arial;sans-serif" w:hAnsi="Arial;sans-serif"/>
          <w:b w:val="false"/>
          <w:color w:val="000000"/>
          <w:sz w:val="22"/>
        </w:rPr>
        <w:t>(1)</w:t>
      </w:r>
      <w:r>
        <w:rPr>
          <w:rFonts w:ascii="sans-serif" w:hAnsi="sans-serif"/>
          <w:b w:val="false"/>
          <w:color w:val="000000"/>
          <w:sz w:val="24"/>
        </w:rPr>
        <w:t>Participant’s</w:t>
      </w:r>
      <w:r>
        <w:rPr>
          <w:color w:val="000000"/>
        </w:rPr>
        <w:t xml:space="preserve"> </w:t>
      </w:r>
      <w:r>
        <w:rPr>
          <w:rFonts w:ascii="sans-serif" w:hAnsi="sans-serif"/>
          <w:b w:val="false"/>
          <w:color w:val="000000"/>
          <w:sz w:val="24"/>
        </w:rPr>
        <w:t>Awards</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shares of Common</w:t>
      </w:r>
      <w:r>
        <w:rPr>
          <w:color w:val="000000"/>
        </w:rPr>
        <w:t xml:space="preserve"> </w:t>
      </w:r>
      <w:r>
        <w:rPr>
          <w:rFonts w:ascii="sans-serif" w:hAnsi="sans-serif"/>
          <w:b w:val="false"/>
          <w:color w:val="000000"/>
          <w:sz w:val="24"/>
        </w:rPr>
        <w:t>Stock</w:t>
      </w:r>
      <w:r>
        <w:rPr>
          <w:color w:val="000000"/>
        </w:rPr>
        <w:t xml:space="preserve"> </w:t>
      </w:r>
      <w:r>
        <w:rPr>
          <w:rFonts w:ascii="sans-serif" w:hAnsi="sans-serif"/>
          <w:b w:val="false"/>
          <w:color w:val="000000"/>
          <w:sz w:val="24"/>
        </w:rPr>
        <w:t>issued</w:t>
      </w:r>
      <w:r>
        <w:rPr>
          <w:color w:val="000000"/>
        </w:rPr>
        <w:t xml:space="preserve"> </w:t>
      </w:r>
      <w:r>
        <w:rPr>
          <w:rFonts w:ascii="sans-serif" w:hAnsi="sans-serif"/>
          <w:b w:val="false"/>
          <w:color w:val="000000"/>
          <w:sz w:val="24"/>
        </w:rPr>
        <w:t>under</w:t>
      </w:r>
      <w:r>
        <w:rPr>
          <w:color w:val="000000"/>
        </w:rPr>
        <w:t xml:space="preserve"> </w:t>
      </w:r>
      <w:r>
        <w:rPr>
          <w:rFonts w:ascii="sans-serif" w:hAnsi="sans-serif"/>
          <w:b w:val="false"/>
          <w:color w:val="000000"/>
          <w:sz w:val="24"/>
        </w:rPr>
        <w:t>such</w:t>
      </w:r>
      <w:r>
        <w:rPr>
          <w:color w:val="000000"/>
        </w:rPr>
        <w:t xml:space="preserve"> </w:t>
      </w:r>
      <w:r>
        <w:rPr>
          <w:rFonts w:ascii="sans-serif" w:hAnsi="sans-serif"/>
          <w:b w:val="false"/>
          <w:color w:val="000000"/>
          <w:sz w:val="24"/>
        </w:rPr>
        <w:t>Awards</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held</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trust</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a</w:t>
      </w:r>
      <w:r>
        <w:rPr>
          <w:color w:val="000000"/>
        </w:rPr>
        <w:t xml:space="preserve"> </w:t>
      </w:r>
      <w:r>
        <w:rPr>
          <w:rFonts w:ascii="sans-serif" w:hAnsi="sans-serif"/>
          <w:b w:val="false"/>
          <w:color w:val="000000"/>
          <w:sz w:val="24"/>
        </w:rPr>
        <w:t>period</w:t>
      </w:r>
      <w:r>
        <w:rPr>
          <w:color w:val="000000"/>
        </w:rPr>
        <w:t xml:space="preserve"> </w:t>
      </w:r>
      <w:r>
        <w:rPr>
          <w:rFonts w:ascii="sans-serif" w:hAnsi="sans-serif"/>
          <w:b w:val="false"/>
          <w:color w:val="000000"/>
          <w:sz w:val="24"/>
        </w:rPr>
        <w:t>determined</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Section</w:t>
      </w:r>
      <w:r>
        <w:rPr>
          <w:color w:val="000000"/>
        </w:rPr>
        <w:t xml:space="preserve"> </w:t>
      </w:r>
      <w:r>
        <w:rPr>
          <w:rFonts w:ascii="sans-serif" w:hAnsi="sans-serif"/>
          <w:b w:val="false"/>
          <w:color w:val="000000"/>
          <w:sz w:val="24"/>
        </w:rPr>
        <w:t>102</w:t>
      </w:r>
      <w:r>
        <w:rPr>
          <w:color w:val="000000"/>
        </w:rPr>
        <w:t xml:space="preserve"> </w:t>
      </w:r>
      <w:r>
        <w:rPr>
          <w:rFonts w:ascii="sans-serif" w:hAnsi="sans-serif"/>
          <w:b w:val="false"/>
          <w:color w:val="000000"/>
          <w:sz w:val="24"/>
        </w:rPr>
        <w:t>under</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Capital</w:t>
      </w:r>
      <w:r>
        <w:rPr>
          <w:color w:val="000000"/>
        </w:rPr>
        <w:t xml:space="preserve"> </w:t>
      </w:r>
      <w:r>
        <w:rPr>
          <w:rFonts w:ascii="sans-serif" w:hAnsi="sans-serif"/>
          <w:b w:val="false"/>
          <w:color w:val="000000"/>
          <w:sz w:val="24"/>
        </w:rPr>
        <w:t>Gains</w:t>
      </w:r>
      <w:r>
        <w:rPr>
          <w:color w:val="000000"/>
        </w:rPr>
        <w:t xml:space="preserve"> </w:t>
      </w:r>
      <w:r>
        <w:rPr>
          <w:rFonts w:ascii="sans-serif" w:hAnsi="sans-serif"/>
          <w:b w:val="false"/>
          <w:color w:val="000000"/>
          <w:sz w:val="24"/>
        </w:rPr>
        <w:t>Route”</w:t>
      </w:r>
      <w:r>
        <w:rPr>
          <w:color w:val="000000"/>
        </w:rPr>
        <w:t xml:space="preserve"> </w:t>
      </w:r>
      <w:r>
        <w:rPr>
          <w:rFonts w:ascii="sans-serif" w:hAnsi="sans-serif"/>
          <w:b w:val="false"/>
          <w:color w:val="000000"/>
          <w:sz w:val="24"/>
        </w:rPr>
        <w:t>(the</w:t>
      </w:r>
      <w:r>
        <w:rPr>
          <w:color w:val="000000"/>
        </w:rPr>
        <w:t xml:space="preserve"> “</w:t>
      </w:r>
      <w:r>
        <w:rPr>
          <w:rFonts w:ascii="sans-serif" w:hAnsi="sans-serif"/>
          <w:b/>
          <w:i/>
          <w:color w:val="000000"/>
          <w:sz w:val="24"/>
        </w:rPr>
        <w:t>Lock-up</w:t>
      </w:r>
      <w:r>
        <w:rPr>
          <w:color w:val="000000"/>
        </w:rPr>
        <w:t xml:space="preserve"> </w:t>
      </w:r>
      <w:r>
        <w:rPr>
          <w:rFonts w:ascii="sans-serif" w:hAnsi="sans-serif"/>
          <w:b/>
          <w:i/>
          <w:color w:val="000000"/>
          <w:sz w:val="24"/>
        </w:rPr>
        <w:t>Period</w:t>
      </w:r>
      <w:r>
        <w:rPr>
          <w:color w:val="000000"/>
        </w:rPr>
        <w:t>”</w:t>
      </w:r>
      <w:r>
        <w:rPr>
          <w:rFonts w:ascii="sans-serif" w:hAnsi="sans-serif"/>
          <w:b w:val="false"/>
          <w:color w:val="000000"/>
          <w:sz w:val="24"/>
        </w:rPr>
        <w:t>)</w:t>
      </w:r>
      <w:r>
        <w:rPr>
          <w:color w:val="000000"/>
        </w:rPr>
        <w:t xml:space="preserve"> </w:t>
      </w:r>
      <w:r>
        <w:rPr>
          <w:rFonts w:ascii="sans-serif" w:hAnsi="sans-serif"/>
          <w:b w:val="false"/>
          <w:color w:val="000000"/>
          <w:sz w:val="24"/>
        </w:rPr>
        <w:t>(currently</w:t>
      </w:r>
      <w:r>
        <w:rPr>
          <w:color w:val="000000"/>
        </w:rPr>
        <w:t xml:space="preserve"> </w:t>
      </w:r>
      <w:r>
        <w:rPr>
          <w:rFonts w:ascii="sans-serif" w:hAnsi="sans-serif"/>
          <w:b w:val="false"/>
          <w:color w:val="000000"/>
          <w:sz w:val="24"/>
        </w:rPr>
        <w:t>two</w:t>
      </w:r>
      <w:r>
        <w:rPr>
          <w:color w:val="000000"/>
        </w:rPr>
        <w:t xml:space="preserve"> </w:t>
      </w:r>
      <w:r>
        <w:rPr>
          <w:rFonts w:ascii="sans-serif" w:hAnsi="sans-serif"/>
          <w:b w:val="false"/>
          <w:color w:val="000000"/>
          <w:sz w:val="24"/>
        </w:rPr>
        <w:t>years from</w:t>
      </w:r>
      <w:r>
        <w:rPr>
          <w:color w:val="000000"/>
        </w:rPr>
        <w:t xml:space="preserve"> </w:t>
      </w:r>
      <w:r>
        <w:rPr>
          <w:rFonts w:ascii="sans-serif" w:hAnsi="sans-serif"/>
          <w:b w:val="false"/>
          <w:color w:val="000000"/>
          <w:sz w:val="24"/>
        </w:rPr>
        <w:t>the date</w:t>
      </w:r>
      <w:r>
        <w:rPr>
          <w:color w:val="000000"/>
        </w:rPr>
        <w:t xml:space="preserve"> </w:t>
      </w:r>
      <w:r>
        <w:rPr>
          <w:rFonts w:ascii="sans-serif" w:hAnsi="sans-serif"/>
          <w:b w:val="false"/>
          <w:color w:val="000000"/>
          <w:sz w:val="24"/>
        </w:rPr>
        <w:t>on which</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Awards</w:t>
      </w:r>
      <w:r>
        <w:rPr>
          <w:color w:val="000000"/>
        </w:rPr>
        <w:t xml:space="preserve"> </w:t>
      </w:r>
      <w:r>
        <w:rPr>
          <w:rFonts w:ascii="sans-serif" w:hAnsi="sans-serif"/>
          <w:b w:val="false"/>
          <w:color w:val="000000"/>
          <w:sz w:val="24"/>
        </w:rPr>
        <w:t>were</w:t>
      </w:r>
      <w:r>
        <w:rPr>
          <w:color w:val="000000"/>
        </w:rPr>
        <w:t xml:space="preserve"> </w:t>
      </w:r>
      <w:r>
        <w:rPr>
          <w:rFonts w:ascii="sans-serif" w:hAnsi="sans-serif"/>
          <w:b w:val="false"/>
          <w:color w:val="000000"/>
          <w:sz w:val="24"/>
        </w:rPr>
        <w:t>granted to Participant).</w:t>
      </w:r>
    </w:p>
    <w:p>
      <w:pPr>
        <w:pStyle w:val="TextBody"/>
        <w:bidi w:val="0"/>
        <w:spacing w:lineRule="auto" w:line="333" w:before="0" w:after="240"/>
        <w:ind w:left="0" w:right="0" w:hanging="360"/>
        <w:jc w:val="both"/>
        <w:rPr/>
      </w:pPr>
      <w:r>
        <w:rPr>
          <w:rFonts w:ascii="Arial;sans-serif" w:hAnsi="Arial;sans-serif"/>
          <w:b w:val="false"/>
          <w:color w:val="000000"/>
          <w:sz w:val="22"/>
        </w:rPr>
        <w:t>(2)</w:t>
      </w:r>
      <w:r>
        <w:rPr>
          <w:rFonts w:ascii="sans-serif" w:hAnsi="sans-serif"/>
          <w:b w:val="false"/>
          <w:color w:val="000000"/>
          <w:sz w:val="24"/>
        </w:rPr>
        <w:t>During</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Lock</w:t>
      </w:r>
      <w:r>
        <w:rPr>
          <w:color w:val="000000"/>
        </w:rPr>
        <w:t xml:space="preserve"> </w:t>
      </w:r>
      <w:r>
        <w:rPr>
          <w:rFonts w:ascii="sans-serif" w:hAnsi="sans-serif"/>
          <w:b w:val="false"/>
          <w:color w:val="000000"/>
          <w:sz w:val="24"/>
        </w:rPr>
        <w:t>Up</w:t>
      </w:r>
      <w:r>
        <w:rPr>
          <w:color w:val="000000"/>
        </w:rPr>
        <w:t xml:space="preserve"> </w:t>
      </w:r>
      <w:r>
        <w:rPr>
          <w:rFonts w:ascii="sans-serif" w:hAnsi="sans-serif"/>
          <w:b w:val="false"/>
          <w:color w:val="000000"/>
          <w:sz w:val="24"/>
        </w:rPr>
        <w:t>Period</w:t>
      </w:r>
      <w:r>
        <w:rPr>
          <w:color w:val="000000"/>
        </w:rPr>
        <w:t xml:space="preserve"> </w:t>
      </w:r>
      <w:r>
        <w:rPr>
          <w:rFonts w:ascii="sans-serif" w:hAnsi="sans-serif"/>
          <w:b w:val="false"/>
          <w:color w:val="000000"/>
          <w:sz w:val="24"/>
        </w:rPr>
        <w:t>Participant cannot</w:t>
      </w:r>
      <w:r>
        <w:rPr>
          <w:color w:val="000000"/>
        </w:rPr>
        <w:t xml:space="preserve"> </w:t>
      </w:r>
      <w:r>
        <w:rPr>
          <w:rFonts w:ascii="sans-serif" w:hAnsi="sans-serif"/>
          <w:b w:val="false"/>
          <w:color w:val="000000"/>
          <w:sz w:val="24"/>
        </w:rPr>
        <w:t>sell,</w:t>
      </w:r>
      <w:r>
        <w:rPr>
          <w:color w:val="000000"/>
        </w:rPr>
        <w:t xml:space="preserve"> </w:t>
      </w:r>
      <w:r>
        <w:rPr>
          <w:rFonts w:ascii="sans-serif" w:hAnsi="sans-serif"/>
          <w:b w:val="false"/>
          <w:color w:val="000000"/>
          <w:sz w:val="24"/>
        </w:rPr>
        <w:t>pledge,</w:t>
      </w:r>
      <w:r>
        <w:rPr>
          <w:color w:val="000000"/>
        </w:rPr>
        <w:t xml:space="preserve"> </w:t>
      </w:r>
      <w:r>
        <w:rPr>
          <w:rFonts w:ascii="sans-serif" w:hAnsi="sans-serif"/>
          <w:b w:val="false"/>
          <w:color w:val="000000"/>
          <w:sz w:val="24"/>
        </w:rPr>
        <w:t>release</w:t>
      </w:r>
      <w:r>
        <w:rPr>
          <w:color w:val="000000"/>
        </w:rPr>
        <w:t xml:space="preserve"> </w:t>
      </w:r>
      <w:r>
        <w:rPr>
          <w:rFonts w:ascii="sans-serif" w:hAnsi="sans-serif"/>
          <w:b w:val="false"/>
          <w:color w:val="000000"/>
          <w:sz w:val="24"/>
        </w:rPr>
        <w:t>from</w:t>
      </w:r>
      <w:r>
        <w:rPr>
          <w:color w:val="000000"/>
        </w:rPr>
        <w:t xml:space="preserve"> </w:t>
      </w:r>
      <w:r>
        <w:rPr>
          <w:rFonts w:ascii="sans-serif" w:hAnsi="sans-serif"/>
          <w:b w:val="false"/>
          <w:color w:val="000000"/>
          <w:sz w:val="24"/>
        </w:rPr>
        <w:t>trust</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otherwise</w:t>
      </w:r>
      <w:r>
        <w:rPr>
          <w:color w:val="000000"/>
        </w:rPr>
        <w:t xml:space="preserve"> </w:t>
      </w:r>
      <w:r>
        <w:rPr>
          <w:rFonts w:ascii="sans-serif" w:hAnsi="sans-serif"/>
          <w:b w:val="false"/>
          <w:color w:val="000000"/>
          <w:sz w:val="24"/>
        </w:rPr>
        <w:t>perform</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transaction</w:t>
      </w:r>
      <w:r>
        <w:rPr>
          <w:color w:val="000000"/>
        </w:rPr>
        <w:t xml:space="preserve"> </w:t>
      </w:r>
      <w:r>
        <w:rPr>
          <w:rFonts w:ascii="sans-serif" w:hAnsi="sans-serif"/>
          <w:b w:val="false"/>
          <w:color w:val="000000"/>
          <w:sz w:val="24"/>
        </w:rPr>
        <w:t>(other</w:t>
      </w:r>
      <w:r>
        <w:rPr>
          <w:color w:val="000000"/>
        </w:rPr>
        <w:t xml:space="preserve"> </w:t>
      </w:r>
      <w:r>
        <w:rPr>
          <w:rFonts w:ascii="sans-serif" w:hAnsi="sans-serif"/>
          <w:b w:val="false"/>
          <w:color w:val="000000"/>
          <w:sz w:val="24"/>
        </w:rPr>
        <w:t>than</w:t>
      </w:r>
      <w:r>
        <w:rPr>
          <w:color w:val="000000"/>
        </w:rPr>
        <w:t xml:space="preserve"> </w:t>
      </w:r>
      <w:r>
        <w:rPr>
          <w:rFonts w:ascii="sans-serif" w:hAnsi="sans-serif"/>
          <w:b w:val="false"/>
          <w:color w:val="000000"/>
          <w:sz w:val="24"/>
        </w:rPr>
        <w:t>exercise</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an</w:t>
      </w:r>
      <w:r>
        <w:rPr>
          <w:color w:val="000000"/>
        </w:rPr>
        <w:t xml:space="preserve"> </w:t>
      </w:r>
      <w:r>
        <w:rPr>
          <w:rFonts w:ascii="sans-serif" w:hAnsi="sans-serif"/>
          <w:b w:val="false"/>
          <w:color w:val="000000"/>
          <w:sz w:val="24"/>
        </w:rPr>
        <w:t>option)</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connection</w:t>
      </w:r>
      <w:r>
        <w:rPr>
          <w:color w:val="000000"/>
        </w:rPr>
        <w:t xml:space="preserve"> </w:t>
      </w:r>
      <w:r>
        <w:rPr>
          <w:rFonts w:ascii="sans-serif" w:hAnsi="sans-serif"/>
          <w:b w:val="false"/>
          <w:color w:val="000000"/>
          <w:sz w:val="24"/>
        </w:rPr>
        <w:t>with</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Awards</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Common Stock</w:t>
      </w:r>
      <w:r>
        <w:rPr>
          <w:color w:val="000000"/>
        </w:rPr>
        <w:t xml:space="preserve"> </w:t>
      </w:r>
      <w:r>
        <w:rPr>
          <w:rFonts w:ascii="sans-serif" w:hAnsi="sans-serif"/>
          <w:b w:val="false"/>
          <w:color w:val="000000"/>
          <w:sz w:val="24"/>
        </w:rPr>
        <w:t>granted to</w:t>
      </w:r>
      <w:r>
        <w:rPr>
          <w:color w:val="000000"/>
        </w:rPr>
        <w:t xml:space="preserve"> </w:t>
      </w:r>
      <w:r>
        <w:rPr>
          <w:rFonts w:ascii="sans-serif" w:hAnsi="sans-serif"/>
          <w:b w:val="false"/>
          <w:color w:val="000000"/>
          <w:sz w:val="24"/>
        </w:rPr>
        <w:t>Participant.</w:t>
      </w:r>
    </w:p>
    <w:p>
      <w:pPr>
        <w:pStyle w:val="TextBody"/>
        <w:bidi w:val="0"/>
        <w:spacing w:lineRule="auto" w:line="333" w:before="0" w:after="240"/>
        <w:jc w:val="both"/>
        <w:rPr/>
      </w:pPr>
      <w:r>
        <w:rPr>
          <w:rFonts w:ascii="sans-serif" w:hAnsi="sans-serif"/>
          <w:b w:val="false"/>
          <w:color w:val="000000"/>
          <w:sz w:val="24"/>
        </w:rPr>
        <w:t>Provided</w:t>
      </w:r>
      <w:r>
        <w:rPr>
          <w:color w:val="000000"/>
        </w:rPr>
        <w:t xml:space="preserve"> </w:t>
      </w:r>
      <w:r>
        <w:rPr>
          <w:rFonts w:ascii="sans-serif" w:hAnsi="sans-serif"/>
          <w:b w:val="false"/>
          <w:color w:val="000000"/>
          <w:sz w:val="24"/>
        </w:rPr>
        <w:t>that</w:t>
      </w:r>
      <w:r>
        <w:rPr>
          <w:color w:val="000000"/>
        </w:rPr>
        <w:t xml:space="preserve"> </w:t>
      </w:r>
      <w:r>
        <w:rPr>
          <w:rFonts w:ascii="sans-serif" w:hAnsi="sans-serif"/>
          <w:b w:val="false"/>
          <w:color w:val="000000"/>
          <w:sz w:val="24"/>
        </w:rPr>
        <w:t>all</w:t>
      </w:r>
      <w:r>
        <w:rPr>
          <w:color w:val="000000"/>
        </w:rPr>
        <w:t xml:space="preserve"> </w:t>
      </w:r>
      <w:r>
        <w:rPr>
          <w:rFonts w:ascii="sans-serif" w:hAnsi="sans-serif"/>
          <w:b w:val="false"/>
          <w:color w:val="000000"/>
          <w:sz w:val="24"/>
        </w:rPr>
        <w:t>conditions</w:t>
      </w:r>
      <w:r>
        <w:rPr>
          <w:color w:val="000000"/>
        </w:rPr>
        <w:t xml:space="preserve"> </w:t>
      </w:r>
      <w:r>
        <w:rPr>
          <w:rFonts w:ascii="sans-serif" w:hAnsi="sans-serif"/>
          <w:b w:val="false"/>
          <w:color w:val="000000"/>
          <w:sz w:val="24"/>
        </w:rPr>
        <w:t>set</w:t>
      </w:r>
      <w:r>
        <w:rPr>
          <w:color w:val="000000"/>
        </w:rPr>
        <w:t xml:space="preserve"> </w:t>
      </w:r>
      <w:r>
        <w:rPr>
          <w:rFonts w:ascii="sans-serif" w:hAnsi="sans-serif"/>
          <w:b w:val="false"/>
          <w:color w:val="000000"/>
          <w:sz w:val="24"/>
        </w:rPr>
        <w:t>by</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Ordinance</w:t>
      </w:r>
      <w:r>
        <w:rPr>
          <w:color w:val="000000"/>
        </w:rPr>
        <w:t xml:space="preserve"> </w:t>
      </w:r>
      <w:r>
        <w:rPr>
          <w:rFonts w:ascii="sans-serif" w:hAnsi="sans-serif"/>
          <w:b w:val="false"/>
          <w:color w:val="000000"/>
          <w:sz w:val="24"/>
        </w:rPr>
        <w:t>under</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Capital</w:t>
      </w:r>
      <w:r>
        <w:rPr>
          <w:color w:val="000000"/>
        </w:rPr>
        <w:t xml:space="preserve"> </w:t>
      </w:r>
      <w:r>
        <w:rPr>
          <w:rFonts w:ascii="sans-serif" w:hAnsi="sans-serif"/>
          <w:b w:val="false"/>
          <w:color w:val="000000"/>
          <w:sz w:val="24"/>
        </w:rPr>
        <w:t>Gains</w:t>
      </w:r>
      <w:r>
        <w:rPr>
          <w:color w:val="000000"/>
        </w:rPr>
        <w:t xml:space="preserve"> </w:t>
      </w:r>
      <w:r>
        <w:rPr>
          <w:rFonts w:ascii="sans-serif" w:hAnsi="sans-serif"/>
          <w:b w:val="false"/>
          <w:color w:val="000000"/>
          <w:sz w:val="24"/>
        </w:rPr>
        <w:t>Route”</w:t>
      </w:r>
      <w:r>
        <w:rPr>
          <w:color w:val="000000"/>
        </w:rPr>
        <w:t xml:space="preserve"> </w:t>
      </w:r>
      <w:r>
        <w:rPr>
          <w:rFonts w:ascii="sans-serif" w:hAnsi="sans-serif"/>
          <w:b w:val="false"/>
          <w:color w:val="000000"/>
          <w:sz w:val="24"/>
        </w:rPr>
        <w:t>are</w:t>
      </w:r>
      <w:r>
        <w:rPr>
          <w:color w:val="000000"/>
        </w:rPr>
        <w:t xml:space="preserve"> </w:t>
      </w:r>
      <w:r>
        <w:rPr>
          <w:rFonts w:ascii="sans-serif" w:hAnsi="sans-serif"/>
          <w:b w:val="false"/>
          <w:color w:val="000000"/>
          <w:sz w:val="24"/>
        </w:rPr>
        <w:t>met,</w:t>
      </w:r>
      <w:r>
        <w:rPr>
          <w:color w:val="000000"/>
        </w:rPr>
        <w:t xml:space="preserve"> </w:t>
      </w:r>
      <w:r>
        <w:rPr>
          <w:rFonts w:ascii="sans-serif" w:hAnsi="sans-serif"/>
          <w:b w:val="false"/>
          <w:color w:val="000000"/>
          <w:sz w:val="24"/>
        </w:rPr>
        <w:t>including</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above</w:t>
      </w:r>
      <w:r>
        <w:rPr>
          <w:color w:val="000000"/>
        </w:rPr>
        <w:t xml:space="preserve"> </w:t>
      </w:r>
      <w:r>
        <w:rPr>
          <w:rFonts w:ascii="sans-serif" w:hAnsi="sans-serif"/>
          <w:b w:val="false"/>
          <w:color w:val="000000"/>
          <w:sz w:val="24"/>
        </w:rPr>
        <w:t>conditions,</w:t>
      </w:r>
      <w:r>
        <w:rPr>
          <w:color w:val="000000"/>
        </w:rPr>
        <w:t xml:space="preserve"> </w:t>
      </w:r>
      <w:r>
        <w:rPr>
          <w:rFonts w:ascii="sans-serif" w:hAnsi="sans-serif"/>
          <w:b w:val="false"/>
          <w:color w:val="000000"/>
          <w:sz w:val="24"/>
        </w:rPr>
        <w:t>Participant</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in</w:t>
      </w:r>
      <w:r>
        <w:rPr>
          <w:color w:val="000000"/>
        </w:rPr>
        <w:t xml:space="preserve"> </w:t>
      </w:r>
      <w:r>
        <w:rPr>
          <w:rFonts w:ascii="sans-serif" w:hAnsi="sans-serif"/>
          <w:b w:val="false"/>
          <w:color w:val="000000"/>
          <w:sz w:val="24"/>
        </w:rPr>
        <w:t>general,</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taxed</w:t>
      </w:r>
      <w:r>
        <w:rPr>
          <w:color w:val="000000"/>
        </w:rPr>
        <w:t xml:space="preserve"> </w:t>
      </w:r>
      <w:r>
        <w:rPr>
          <w:rFonts w:ascii="sans-serif" w:hAnsi="sans-serif"/>
          <w:b w:val="false"/>
          <w:color w:val="000000"/>
          <w:sz w:val="24"/>
        </w:rPr>
        <w:t>upon</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sale</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Common</w:t>
      </w:r>
      <w:r>
        <w:rPr>
          <w:color w:val="000000"/>
        </w:rPr>
        <w:t xml:space="preserve"> </w:t>
      </w:r>
      <w:r>
        <w:rPr>
          <w:rFonts w:ascii="sans-serif" w:hAnsi="sans-serif"/>
          <w:b w:val="false"/>
          <w:color w:val="000000"/>
          <w:sz w:val="24"/>
        </w:rPr>
        <w:t>Stock</w:t>
      </w:r>
      <w:r>
        <w:rPr>
          <w:color w:val="000000"/>
        </w:rPr>
        <w:t xml:space="preserve"> </w:t>
      </w:r>
      <w:r>
        <w:rPr>
          <w:rFonts w:ascii="sans-serif" w:hAnsi="sans-serif"/>
          <w:b w:val="false"/>
          <w:color w:val="000000"/>
          <w:sz w:val="24"/>
        </w:rPr>
        <w:t>at</w:t>
      </w:r>
      <w:r>
        <w:rPr>
          <w:color w:val="000000"/>
        </w:rPr>
        <w:t xml:space="preserve"> </w:t>
      </w:r>
      <w:r>
        <w:rPr>
          <w:rFonts w:ascii="sans-serif" w:hAnsi="sans-serif"/>
          <w:b w:val="false"/>
          <w:color w:val="000000"/>
          <w:sz w:val="24"/>
        </w:rPr>
        <w:t>capital gains</w:t>
      </w:r>
      <w:r>
        <w:rPr>
          <w:color w:val="000000"/>
        </w:rPr>
        <w:t xml:space="preserve"> </w:t>
      </w:r>
      <w:r>
        <w:rPr>
          <w:rFonts w:ascii="sans-serif" w:hAnsi="sans-serif"/>
          <w:b w:val="false"/>
          <w:color w:val="000000"/>
          <w:sz w:val="24"/>
        </w:rPr>
        <w:t>rates</w:t>
      </w:r>
      <w:r>
        <w:rPr>
          <w:color w:val="000000"/>
        </w:rPr>
        <w:t xml:space="preserve"> </w:t>
      </w:r>
      <w:r>
        <w:rPr>
          <w:rFonts w:ascii="sans-serif" w:hAnsi="sans-serif"/>
          <w:b w:val="false"/>
          <w:color w:val="000000"/>
          <w:sz w:val="24"/>
        </w:rPr>
        <w:t>(currently</w:t>
      </w:r>
      <w:r>
        <w:rPr>
          <w:color w:val="000000"/>
        </w:rPr>
        <w:t xml:space="preserve"> </w:t>
      </w:r>
      <w:r>
        <w:rPr>
          <w:rFonts w:ascii="sans-serif" w:hAnsi="sans-serif"/>
          <w:b w:val="false"/>
          <w:color w:val="000000"/>
          <w:sz w:val="24"/>
        </w:rPr>
        <w:t>25%).</w:t>
      </w:r>
      <w:r>
        <w:rPr>
          <w:color w:val="000000"/>
        </w:rPr>
        <w:t xml:space="preserve"> </w:t>
      </w:r>
      <w:r>
        <w:rPr>
          <w:rFonts w:ascii="sans-serif" w:hAnsi="sans-serif"/>
          <w:b w:val="false"/>
          <w:color w:val="000000"/>
          <w:sz w:val="24"/>
        </w:rPr>
        <w:t>However,</w:t>
      </w:r>
      <w:r>
        <w:rPr>
          <w:color w:val="000000"/>
        </w:rPr>
        <w:t xml:space="preserve"> </w:t>
      </w:r>
      <w:r>
        <w:rPr>
          <w:rFonts w:ascii="sans-serif" w:hAnsi="sans-serif"/>
          <w:b w:val="false"/>
          <w:color w:val="000000"/>
          <w:sz w:val="24"/>
        </w:rPr>
        <w:t>a</w:t>
      </w:r>
      <w:r>
        <w:rPr>
          <w:color w:val="000000"/>
        </w:rPr>
        <w:t xml:space="preserve"> </w:t>
      </w:r>
      <w:r>
        <w:rPr>
          <w:rFonts w:ascii="sans-serif" w:hAnsi="sans-serif"/>
          <w:b w:val="false"/>
          <w:color w:val="000000"/>
          <w:sz w:val="24"/>
        </w:rPr>
        <w:t>portion</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Participant’s</w:t>
      </w:r>
      <w:r>
        <w:rPr>
          <w:color w:val="000000"/>
        </w:rPr>
        <w:t xml:space="preserve"> </w:t>
      </w:r>
      <w:r>
        <w:rPr>
          <w:rFonts w:ascii="sans-serif" w:hAnsi="sans-serif"/>
          <w:b w:val="false"/>
          <w:color w:val="000000"/>
          <w:sz w:val="24"/>
        </w:rPr>
        <w:t>gain,</w:t>
      </w:r>
      <w:r>
        <w:rPr>
          <w:color w:val="000000"/>
        </w:rPr>
        <w:t xml:space="preserve"> </w:t>
      </w:r>
      <w:r>
        <w:rPr>
          <w:rFonts w:ascii="sans-serif" w:hAnsi="sans-serif"/>
          <w:b w:val="false"/>
          <w:color w:val="000000"/>
          <w:sz w:val="24"/>
        </w:rPr>
        <w:t>equal</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difference</w:t>
      </w:r>
      <w:r>
        <w:rPr>
          <w:color w:val="000000"/>
        </w:rPr>
        <w:t xml:space="preserve"> </w:t>
      </w:r>
      <w:r>
        <w:rPr>
          <w:rFonts w:ascii="sans-serif" w:hAnsi="sans-serif"/>
          <w:b w:val="false"/>
          <w:color w:val="000000"/>
          <w:sz w:val="24"/>
        </w:rPr>
        <w:t>between</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fair</w:t>
      </w:r>
      <w:r>
        <w:rPr>
          <w:color w:val="000000"/>
        </w:rPr>
        <w:t xml:space="preserve"> </w:t>
      </w:r>
      <w:r>
        <w:rPr>
          <w:rFonts w:ascii="sans-serif" w:hAnsi="sans-serif"/>
          <w:b w:val="false"/>
          <w:color w:val="000000"/>
          <w:sz w:val="24"/>
        </w:rPr>
        <w:t>market</w:t>
      </w:r>
      <w:r>
        <w:rPr>
          <w:color w:val="000000"/>
        </w:rPr>
        <w:t xml:space="preserve"> </w:t>
      </w:r>
      <w:r>
        <w:rPr>
          <w:rFonts w:ascii="sans-serif" w:hAnsi="sans-serif"/>
          <w:b w:val="false"/>
          <w:color w:val="000000"/>
          <w:sz w:val="24"/>
        </w:rPr>
        <w:t>value</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Common</w:t>
      </w:r>
      <w:r>
        <w:rPr>
          <w:color w:val="000000"/>
        </w:rPr>
        <w:t xml:space="preserve"> </w:t>
      </w:r>
      <w:r>
        <w:rPr>
          <w:rFonts w:ascii="sans-serif" w:hAnsi="sans-serif"/>
          <w:b w:val="false"/>
          <w:color w:val="000000"/>
          <w:sz w:val="24"/>
        </w:rPr>
        <w:t>Stock</w:t>
      </w:r>
      <w:r>
        <w:rPr>
          <w:color w:val="000000"/>
        </w:rPr>
        <w:t xml:space="preserve"> </w:t>
      </w:r>
      <w:r>
        <w:rPr>
          <w:rFonts w:ascii="sans-serif" w:hAnsi="sans-serif"/>
          <w:b w:val="false"/>
          <w:color w:val="000000"/>
          <w:sz w:val="24"/>
        </w:rPr>
        <w:t>upon</w:t>
      </w:r>
      <w:r>
        <w:rPr>
          <w:color w:val="000000"/>
        </w:rPr>
        <w:t xml:space="preserve"> </w:t>
      </w:r>
      <w:r>
        <w:rPr>
          <w:rFonts w:ascii="sans-serif" w:hAnsi="sans-serif"/>
          <w:b w:val="false"/>
          <w:color w:val="000000"/>
          <w:sz w:val="24"/>
        </w:rPr>
        <w:t>grant</w:t>
      </w:r>
      <w:r>
        <w:rPr>
          <w:color w:val="000000"/>
        </w:rPr>
        <w:t xml:space="preserve"> </w:t>
      </w:r>
      <w:r>
        <w:rPr>
          <w:rFonts w:ascii="sans-serif" w:hAnsi="sans-serif"/>
          <w:b w:val="false"/>
          <w:color w:val="000000"/>
          <w:sz w:val="24"/>
        </w:rPr>
        <w:t>(which</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calculated</w:t>
      </w:r>
      <w:r>
        <w:rPr>
          <w:color w:val="000000"/>
        </w:rPr>
        <w:t xml:space="preserve"> </w:t>
      </w:r>
      <w:r>
        <w:rPr>
          <w:rFonts w:ascii="sans-serif" w:hAnsi="sans-serif"/>
          <w:b w:val="false"/>
          <w:color w:val="000000"/>
          <w:sz w:val="24"/>
        </w:rPr>
        <w:t>based</w:t>
      </w:r>
      <w:r>
        <w:rPr>
          <w:color w:val="000000"/>
        </w:rPr>
        <w:t xml:space="preserve"> </w:t>
      </w:r>
      <w:r>
        <w:rPr>
          <w:rFonts w:ascii="sans-serif" w:hAnsi="sans-serif"/>
          <w:b w:val="false"/>
          <w:color w:val="000000"/>
          <w:sz w:val="24"/>
        </w:rPr>
        <w:t>on</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average</w:t>
      </w:r>
      <w:r>
        <w:rPr>
          <w:color w:val="000000"/>
        </w:rPr>
        <w:t xml:space="preserve"> </w:t>
      </w:r>
      <w:r>
        <w:rPr>
          <w:rFonts w:ascii="sans-serif" w:hAnsi="sans-serif"/>
          <w:b w:val="false"/>
          <w:color w:val="000000"/>
          <w:sz w:val="24"/>
        </w:rPr>
        <w:t>stock</w:t>
      </w:r>
      <w:r>
        <w:rPr>
          <w:color w:val="000000"/>
        </w:rPr>
        <w:t xml:space="preserve"> </w:t>
      </w:r>
      <w:r>
        <w:rPr>
          <w:rFonts w:ascii="sans-serif" w:hAnsi="sans-serif"/>
          <w:b w:val="false"/>
          <w:color w:val="000000"/>
          <w:sz w:val="24"/>
        </w:rPr>
        <w:t>price</w:t>
      </w:r>
      <w:r>
        <w:rPr>
          <w:color w:val="000000"/>
        </w:rPr>
        <w:t xml:space="preserve"> </w:t>
      </w:r>
      <w:r>
        <w:rPr>
          <w:rFonts w:ascii="sans-serif" w:hAnsi="sans-serif"/>
          <w:b w:val="false"/>
          <w:color w:val="000000"/>
          <w:sz w:val="24"/>
        </w:rPr>
        <w:t>during</w:t>
      </w:r>
      <w:r>
        <w:rPr>
          <w:color w:val="000000"/>
        </w:rPr>
        <w:t xml:space="preserve"> </w:t>
      </w:r>
      <w:r>
        <w:rPr>
          <w:rFonts w:ascii="sans-serif" w:hAnsi="sans-serif"/>
          <w:b w:val="false"/>
          <w:color w:val="000000"/>
          <w:sz w:val="24"/>
        </w:rPr>
        <w:t>30</w:t>
      </w:r>
      <w:r>
        <w:rPr>
          <w:color w:val="000000"/>
        </w:rPr>
        <w:t xml:space="preserve"> </w:t>
      </w:r>
      <w:r>
        <w:rPr>
          <w:rFonts w:ascii="sans-serif" w:hAnsi="sans-serif"/>
          <w:b w:val="false"/>
          <w:color w:val="000000"/>
          <w:sz w:val="24"/>
        </w:rPr>
        <w:t>consecutive</w:t>
      </w:r>
      <w:r>
        <w:rPr>
          <w:color w:val="000000"/>
        </w:rPr>
        <w:t xml:space="preserve"> </w:t>
      </w:r>
      <w:r>
        <w:rPr>
          <w:rFonts w:ascii="sans-serif" w:hAnsi="sans-serif"/>
          <w:b w:val="false"/>
          <w:color w:val="000000"/>
          <w:sz w:val="24"/>
        </w:rPr>
        <w:t>trading</w:t>
      </w:r>
      <w:r>
        <w:rPr>
          <w:color w:val="000000"/>
        </w:rPr>
        <w:t xml:space="preserve"> </w:t>
      </w:r>
      <w:r>
        <w:rPr>
          <w:rFonts w:ascii="sans-serif" w:hAnsi="sans-serif"/>
          <w:b w:val="false"/>
          <w:color w:val="000000"/>
          <w:sz w:val="24"/>
        </w:rPr>
        <w:t>days</w:t>
      </w:r>
      <w:r>
        <w:rPr>
          <w:color w:val="000000"/>
        </w:rPr>
        <w:t xml:space="preserve"> </w:t>
      </w:r>
      <w:r>
        <w:rPr>
          <w:rFonts w:ascii="sans-serif" w:hAnsi="sans-serif"/>
          <w:b w:val="false"/>
          <w:color w:val="000000"/>
          <w:sz w:val="24"/>
        </w:rPr>
        <w:t>prior</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grant</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as</w:t>
      </w:r>
      <w:r>
        <w:rPr>
          <w:color w:val="000000"/>
        </w:rPr>
        <w:t xml:space="preserve"> </w:t>
      </w:r>
      <w:r>
        <w:rPr>
          <w:rFonts w:ascii="sans-serif" w:hAnsi="sans-serif"/>
          <w:b w:val="false"/>
          <w:color w:val="000000"/>
          <w:sz w:val="24"/>
        </w:rPr>
        <w:t>otherwise</w:t>
      </w:r>
      <w:r>
        <w:rPr>
          <w:color w:val="000000"/>
        </w:rPr>
        <w:t xml:space="preserve"> </w:t>
      </w:r>
      <w:r>
        <w:rPr>
          <w:rFonts w:ascii="sans-serif" w:hAnsi="sans-serif"/>
          <w:b w:val="false"/>
          <w:color w:val="000000"/>
          <w:sz w:val="24"/>
        </w:rPr>
        <w:t>determined</w:t>
      </w:r>
      <w:r>
        <w:rPr>
          <w:color w:val="000000"/>
        </w:rPr>
        <w:t xml:space="preserve"> </w:t>
      </w:r>
      <w:r>
        <w:rPr>
          <w:rFonts w:ascii="sans-serif" w:hAnsi="sans-serif"/>
          <w:b w:val="false"/>
          <w:color w:val="000000"/>
          <w:sz w:val="24"/>
        </w:rPr>
        <w:t>by</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Israeli</w:t>
      </w:r>
      <w:r>
        <w:rPr>
          <w:color w:val="000000"/>
        </w:rPr>
        <w:t xml:space="preserve"> </w:t>
      </w:r>
      <w:r>
        <w:rPr>
          <w:rFonts w:ascii="sans-serif" w:hAnsi="sans-serif"/>
          <w:b w:val="false"/>
          <w:color w:val="000000"/>
          <w:sz w:val="24"/>
        </w:rPr>
        <w:t>Tax</w:t>
      </w:r>
      <w:r>
        <w:rPr>
          <w:color w:val="000000"/>
        </w:rPr>
        <w:t xml:space="preserve"> </w:t>
      </w:r>
      <w:r>
        <w:rPr>
          <w:rFonts w:ascii="sans-serif" w:hAnsi="sans-serif"/>
          <w:b w:val="false"/>
          <w:color w:val="000000"/>
          <w:sz w:val="24"/>
        </w:rPr>
        <w:t>Authority)</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price</w:t>
      </w:r>
      <w:r>
        <w:rPr>
          <w:color w:val="000000"/>
        </w:rPr>
        <w:t xml:space="preserve"> </w:t>
      </w:r>
      <w:r>
        <w:rPr>
          <w:rFonts w:ascii="sans-serif" w:hAnsi="sans-serif"/>
          <w:b w:val="false"/>
          <w:color w:val="000000"/>
          <w:sz w:val="24"/>
        </w:rPr>
        <w:t>Participant</w:t>
      </w:r>
      <w:r>
        <w:rPr>
          <w:color w:val="000000"/>
        </w:rPr>
        <w:t xml:space="preserve"> </w:t>
      </w:r>
      <w:r>
        <w:rPr>
          <w:rFonts w:ascii="sans-serif" w:hAnsi="sans-serif"/>
          <w:b w:val="false"/>
          <w:color w:val="000000"/>
          <w:sz w:val="24"/>
        </w:rPr>
        <w:t>is</w:t>
      </w:r>
      <w:r>
        <w:rPr>
          <w:color w:val="000000"/>
        </w:rPr>
        <w:t xml:space="preserve"> </w:t>
      </w:r>
      <w:r>
        <w:rPr>
          <w:rFonts w:ascii="sans-serif" w:hAnsi="sans-serif"/>
          <w:b w:val="false"/>
          <w:color w:val="000000"/>
          <w:sz w:val="24"/>
        </w:rPr>
        <w:t>required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pay</w:t>
      </w:r>
      <w:r>
        <w:rPr>
          <w:color w:val="000000"/>
        </w:rPr>
        <w:t xml:space="preserve"> </w:t>
      </w:r>
      <w:r>
        <w:rPr>
          <w:rFonts w:ascii="sans-serif" w:hAnsi="sans-serif"/>
          <w:b w:val="false"/>
          <w:color w:val="000000"/>
          <w:sz w:val="24"/>
        </w:rPr>
        <w:t>(if</w:t>
      </w:r>
      <w:r>
        <w:rPr>
          <w:color w:val="000000"/>
        </w:rPr>
        <w:t xml:space="preserve"> </w:t>
      </w:r>
      <w:r>
        <w:rPr>
          <w:rFonts w:ascii="sans-serif" w:hAnsi="sans-serif"/>
          <w:b w:val="false"/>
          <w:color w:val="000000"/>
          <w:sz w:val="24"/>
        </w:rPr>
        <w:t>any)</w:t>
      </w:r>
      <w:r>
        <w:rPr>
          <w:color w:val="000000"/>
        </w:rPr>
        <w:t xml:space="preserve"> </w:t>
      </w:r>
      <w:r>
        <w:rPr>
          <w:rFonts w:ascii="sans-serif" w:hAnsi="sans-serif"/>
          <w:b w:val="false"/>
          <w:color w:val="000000"/>
          <w:sz w:val="24"/>
        </w:rPr>
        <w:t>for</w:t>
      </w:r>
      <w:r>
        <w:rPr>
          <w:color w:val="000000"/>
        </w:rPr>
        <w:t xml:space="preserve"> </w:t>
      </w:r>
      <w:r>
        <w:rPr>
          <w:rFonts w:ascii="sans-serif" w:hAnsi="sans-serif"/>
          <w:b w:val="false"/>
          <w:color w:val="000000"/>
          <w:sz w:val="24"/>
        </w:rPr>
        <w:t>such</w:t>
      </w:r>
      <w:r>
        <w:rPr>
          <w:color w:val="000000"/>
        </w:rPr>
        <w:t xml:space="preserve"> </w:t>
      </w:r>
      <w:r>
        <w:rPr>
          <w:rFonts w:ascii="sans-serif" w:hAnsi="sans-serif"/>
          <w:b w:val="false"/>
          <w:color w:val="000000"/>
          <w:sz w:val="24"/>
        </w:rPr>
        <w:t>Common Stock,</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considered</w:t>
      </w:r>
      <w:r>
        <w:rPr>
          <w:color w:val="000000"/>
        </w:rPr>
        <w:t xml:space="preserve"> </w:t>
      </w:r>
      <w:r>
        <w:rPr>
          <w:rFonts w:ascii="sans-serif" w:hAnsi="sans-serif"/>
          <w:b w:val="false"/>
          <w:color w:val="000000"/>
          <w:sz w:val="24"/>
        </w:rPr>
        <w:t>employment</w:t>
      </w:r>
      <w:r>
        <w:rPr>
          <w:color w:val="000000"/>
        </w:rPr>
        <w:t xml:space="preserve"> </w:t>
      </w:r>
      <w:r>
        <w:rPr>
          <w:rFonts w:ascii="sans-serif" w:hAnsi="sans-serif"/>
          <w:b w:val="false"/>
          <w:color w:val="000000"/>
          <w:sz w:val="24"/>
        </w:rPr>
        <w:t>income</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will be</w:t>
      </w:r>
      <w:r>
        <w:rPr>
          <w:color w:val="000000"/>
        </w:rPr>
        <w:t xml:space="preserve"> </w:t>
      </w:r>
      <w:r>
        <w:rPr>
          <w:rFonts w:ascii="sans-serif" w:hAnsi="sans-serif"/>
          <w:b w:val="false"/>
          <w:color w:val="000000"/>
          <w:sz w:val="24"/>
        </w:rPr>
        <w:t>subject</w:t>
      </w:r>
      <w:r>
        <w:rPr>
          <w:color w:val="000000"/>
        </w:rPr>
        <w:t xml:space="preserve"> </w:t>
      </w:r>
      <w:r>
        <w:rPr>
          <w:rFonts w:ascii="sans-serif" w:hAnsi="sans-serif"/>
          <w:b w:val="false"/>
          <w:color w:val="000000"/>
          <w:sz w:val="24"/>
        </w:rPr>
        <w:t>to tax</w:t>
      </w:r>
      <w:r>
        <w:rPr>
          <w:color w:val="000000"/>
        </w:rPr>
        <w:t xml:space="preserve"> </w:t>
      </w:r>
      <w:r>
        <w:rPr>
          <w:rFonts w:ascii="sans-serif" w:hAnsi="sans-serif"/>
          <w:b w:val="false"/>
          <w:color w:val="000000"/>
          <w:sz w:val="24"/>
        </w:rPr>
        <w:t>at</w:t>
      </w:r>
      <w:r>
        <w:rPr>
          <w:color w:val="000000"/>
        </w:rPr>
        <w:t xml:space="preserve"> </w:t>
      </w:r>
      <w:r>
        <w:rPr>
          <w:rFonts w:ascii="sans-serif" w:hAnsi="sans-serif"/>
          <w:b w:val="false"/>
          <w:color w:val="000000"/>
          <w:sz w:val="24"/>
        </w:rPr>
        <w:t>Participant’s</w:t>
      </w:r>
      <w:r>
        <w:rPr>
          <w:color w:val="000000"/>
        </w:rPr>
        <w:t xml:space="preserve"> </w:t>
      </w:r>
      <w:r>
        <w:rPr>
          <w:rFonts w:ascii="sans-serif" w:hAnsi="sans-serif"/>
          <w:b w:val="false"/>
          <w:color w:val="000000"/>
          <w:sz w:val="24"/>
        </w:rPr>
        <w:t>marginal</w:t>
      </w:r>
      <w:r>
        <w:rPr>
          <w:color w:val="000000"/>
        </w:rPr>
        <w:t xml:space="preserve"> </w:t>
      </w:r>
      <w:r>
        <w:rPr>
          <w:rFonts w:ascii="sans-serif" w:hAnsi="sans-serif"/>
          <w:b w:val="false"/>
          <w:color w:val="000000"/>
          <w:sz w:val="24"/>
        </w:rPr>
        <w:t>income</w:t>
      </w:r>
      <w:r>
        <w:rPr>
          <w:color w:val="000000"/>
        </w:rPr>
        <w:t xml:space="preserve"> </w:t>
      </w:r>
      <w:r>
        <w:rPr>
          <w:rFonts w:ascii="sans-serif" w:hAnsi="sans-serif"/>
          <w:b w:val="false"/>
          <w:color w:val="000000"/>
          <w:sz w:val="24"/>
        </w:rPr>
        <w:t>tax</w:t>
      </w:r>
      <w:r>
        <w:rPr>
          <w:color w:val="000000"/>
        </w:rPr>
        <w:t xml:space="preserve"> </w:t>
      </w:r>
      <w:r>
        <w:rPr>
          <w:rFonts w:ascii="sans-serif" w:hAnsi="sans-serif"/>
          <w:b w:val="false"/>
          <w:color w:val="000000"/>
          <w:sz w:val="24"/>
        </w:rPr>
        <w:t>rate</w:t>
      </w:r>
      <w:r>
        <w:rPr>
          <w:color w:val="000000"/>
        </w:rPr>
        <w:t xml:space="preserve"> </w:t>
      </w:r>
      <w:r>
        <w:rPr>
          <w:rFonts w:ascii="sans-serif" w:hAnsi="sans-serif"/>
          <w:b w:val="false"/>
          <w:color w:val="000000"/>
          <w:sz w:val="24"/>
        </w:rPr>
        <w:t>(including any applicable</w:t>
      </w:r>
      <w:r>
        <w:rPr>
          <w:color w:val="000000"/>
        </w:rPr>
        <w:t xml:space="preserve"> </w:t>
      </w:r>
      <w:r>
        <w:rPr>
          <w:rFonts w:ascii="sans-serif" w:hAnsi="sans-serif"/>
          <w:b w:val="false"/>
          <w:color w:val="000000"/>
          <w:sz w:val="24"/>
        </w:rPr>
        <w:t>social security</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health tax).</w:t>
      </w:r>
    </w:p>
    <w:p>
      <w:pPr>
        <w:pStyle w:val="TextBody"/>
        <w:bidi w:val="0"/>
        <w:spacing w:lineRule="auto" w:line="333" w:before="0" w:after="240"/>
        <w:jc w:val="both"/>
        <w:rPr/>
      </w:pPr>
      <w:r>
        <w:rPr>
          <w:rFonts w:ascii="sans-serif" w:hAnsi="sans-serif"/>
          <w:b w:val="false"/>
          <w:color w:val="000000"/>
          <w:sz w:val="24"/>
        </w:rPr>
        <w:t>If</w:t>
      </w:r>
      <w:r>
        <w:rPr>
          <w:color w:val="000000"/>
        </w:rPr>
        <w:t xml:space="preserve"> </w:t>
      </w:r>
      <w:r>
        <w:rPr>
          <w:rFonts w:ascii="sans-serif" w:hAnsi="sans-serif"/>
          <w:b w:val="false"/>
          <w:color w:val="000000"/>
          <w:sz w:val="24"/>
        </w:rPr>
        <w:t>Participant</w:t>
      </w:r>
      <w:r>
        <w:rPr>
          <w:color w:val="000000"/>
        </w:rPr>
        <w:t xml:space="preserve"> </w:t>
      </w:r>
      <w:r>
        <w:rPr>
          <w:rFonts w:ascii="sans-serif" w:hAnsi="sans-serif"/>
          <w:b w:val="false"/>
          <w:color w:val="000000"/>
          <w:sz w:val="24"/>
        </w:rPr>
        <w:t>sells</w:t>
      </w:r>
      <w:r>
        <w:rPr>
          <w:color w:val="000000"/>
        </w:rPr>
        <w:t xml:space="preserve"> </w:t>
      </w:r>
      <w:r>
        <w:rPr>
          <w:rFonts w:ascii="sans-serif" w:hAnsi="sans-serif"/>
          <w:b w:val="false"/>
          <w:color w:val="000000"/>
          <w:sz w:val="24"/>
        </w:rPr>
        <w:t>Participant’s</w:t>
      </w:r>
      <w:r>
        <w:rPr>
          <w:color w:val="000000"/>
        </w:rPr>
        <w:t xml:space="preserve"> </w:t>
      </w:r>
      <w:r>
        <w:rPr>
          <w:rFonts w:ascii="sans-serif" w:hAnsi="sans-serif"/>
          <w:b w:val="false"/>
          <w:color w:val="000000"/>
          <w:sz w:val="24"/>
        </w:rPr>
        <w:t>shares of Common</w:t>
      </w:r>
      <w:r>
        <w:rPr>
          <w:color w:val="000000"/>
        </w:rPr>
        <w:t xml:space="preserve"> </w:t>
      </w:r>
      <w:r>
        <w:rPr>
          <w:rFonts w:ascii="sans-serif" w:hAnsi="sans-serif"/>
          <w:b w:val="false"/>
          <w:color w:val="000000"/>
          <w:sz w:val="24"/>
        </w:rPr>
        <w:t>Stock,</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release</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Awards</w:t>
      </w:r>
      <w:r>
        <w:rPr>
          <w:color w:val="000000"/>
        </w:rPr>
        <w:t xml:space="preserve"> </w:t>
      </w:r>
      <w:r>
        <w:rPr>
          <w:rFonts w:ascii="sans-serif" w:hAnsi="sans-serif"/>
          <w:b w:val="false"/>
          <w:color w:val="000000"/>
          <w:sz w:val="24"/>
        </w:rPr>
        <w:t>or</w:t>
      </w:r>
      <w:r>
        <w:rPr>
          <w:color w:val="000000"/>
        </w:rPr>
        <w:t xml:space="preserve"> </w:t>
      </w:r>
      <w:r>
        <w:rPr>
          <w:rFonts w:ascii="sans-serif" w:hAnsi="sans-serif"/>
          <w:b w:val="false"/>
          <w:color w:val="000000"/>
          <w:sz w:val="24"/>
        </w:rPr>
        <w:t>shares of Common</w:t>
      </w:r>
      <w:r>
        <w:rPr>
          <w:color w:val="000000"/>
        </w:rPr>
        <w:t xml:space="preserve"> </w:t>
      </w:r>
      <w:r>
        <w:rPr>
          <w:rFonts w:ascii="sans-serif" w:hAnsi="sans-serif"/>
          <w:b w:val="false"/>
          <w:color w:val="000000"/>
          <w:sz w:val="24"/>
        </w:rPr>
        <w:t>Stock</w:t>
      </w:r>
      <w:r>
        <w:rPr>
          <w:color w:val="000000"/>
        </w:rPr>
        <w:t xml:space="preserve"> </w:t>
      </w:r>
      <w:r>
        <w:rPr>
          <w:rFonts w:ascii="sans-serif" w:hAnsi="sans-serif"/>
          <w:b w:val="false"/>
          <w:color w:val="000000"/>
          <w:sz w:val="24"/>
        </w:rPr>
        <w:t>from</w:t>
      </w:r>
      <w:r>
        <w:rPr>
          <w:color w:val="000000"/>
        </w:rPr>
        <w:t xml:space="preserve"> </w:t>
      </w:r>
      <w:r>
        <w:rPr>
          <w:rFonts w:ascii="sans-serif" w:hAnsi="sans-serif"/>
          <w:b w:val="false"/>
          <w:color w:val="000000"/>
          <w:sz w:val="24"/>
        </w:rPr>
        <w:t>trust,</w:t>
      </w:r>
      <w:r>
        <w:rPr>
          <w:color w:val="000000"/>
        </w:rPr>
        <w:t xml:space="preserve"> </w:t>
      </w:r>
      <w:r>
        <w:rPr>
          <w:rFonts w:ascii="sans-serif" w:hAnsi="sans-serif"/>
          <w:b w:val="false"/>
          <w:color w:val="000000"/>
          <w:sz w:val="24"/>
        </w:rPr>
        <w:t>before</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end</w:t>
      </w:r>
      <w:r>
        <w:rPr>
          <w:color w:val="000000"/>
        </w:rPr>
        <w:t xml:space="preserve"> </w:t>
      </w:r>
      <w:r>
        <w:rPr>
          <w:rFonts w:ascii="sans-serif" w:hAnsi="sans-serif"/>
          <w:b w:val="false"/>
          <w:color w:val="000000"/>
          <w:sz w:val="24"/>
        </w:rPr>
        <w:t>of</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Lock-up</w:t>
      </w:r>
      <w:r>
        <w:rPr>
          <w:color w:val="000000"/>
        </w:rPr>
        <w:t xml:space="preserve"> </w:t>
      </w:r>
      <w:r>
        <w:rPr>
          <w:rFonts w:ascii="sans-serif" w:hAnsi="sans-serif"/>
          <w:b w:val="false"/>
          <w:color w:val="000000"/>
          <w:sz w:val="24"/>
        </w:rPr>
        <w:t>Period,</w:t>
      </w:r>
      <w:r>
        <w:rPr>
          <w:color w:val="000000"/>
        </w:rPr>
        <w:t xml:space="preserve"> </w:t>
      </w:r>
      <w:r>
        <w:rPr>
          <w:rFonts w:ascii="sans-serif" w:hAnsi="sans-serif"/>
          <w:b w:val="false"/>
          <w:color w:val="000000"/>
          <w:sz w:val="24"/>
        </w:rPr>
        <w:t>Participant</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immediately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2560"/>
                <wp:effectExtent l="0" t="0" r="0" b="0"/>
                <wp:wrapNone/>
                <wp:docPr id="89" name="Frame8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Appendix-17</w:t>
                      </w:r>
                    </w:p>
                  </w:txbxContent>
                </v:textbox>
                <w10:wrap type="none"/>
              </v:rect>
            </w:pict>
          </mc:Fallback>
        </mc:AlternateContent>
      </w:r>
    </w:p>
    <w:p>
      <w:pPr>
        <w:pStyle w:val="TextBody"/>
        <w:bidi w:val="0"/>
        <w:spacing w:lineRule="auto" w:line="333" w:before="0" w:after="240"/>
        <w:jc w:val="both"/>
        <w:rPr/>
      </w:pPr>
      <w:r>
        <w:rPr>
          <w:rFonts w:ascii="sans-serif" w:hAnsi="sans-serif"/>
          <w:b w:val="false"/>
          <w:color w:val="000000"/>
          <w:sz w:val="24"/>
        </w:rPr>
        <w:t>be</w:t>
      </w:r>
      <w:r>
        <w:rPr>
          <w:color w:val="000000"/>
        </w:rPr>
        <w:t xml:space="preserve"> </w:t>
      </w:r>
      <w:r>
        <w:rPr>
          <w:rFonts w:ascii="sans-serif" w:hAnsi="sans-serif"/>
          <w:b w:val="false"/>
          <w:color w:val="000000"/>
          <w:sz w:val="24"/>
        </w:rPr>
        <w:t>subject</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income</w:t>
      </w:r>
      <w:r>
        <w:rPr>
          <w:color w:val="000000"/>
        </w:rPr>
        <w:t xml:space="preserve"> </w:t>
      </w:r>
      <w:r>
        <w:rPr>
          <w:rFonts w:ascii="sans-serif" w:hAnsi="sans-serif"/>
          <w:b w:val="false"/>
          <w:color w:val="000000"/>
          <w:sz w:val="24"/>
        </w:rPr>
        <w:t>tax</w:t>
      </w:r>
      <w:r>
        <w:rPr>
          <w:color w:val="000000"/>
        </w:rPr>
        <w:t xml:space="preserve"> </w:t>
      </w:r>
      <w:r>
        <w:rPr>
          <w:rFonts w:ascii="sans-serif" w:hAnsi="sans-serif"/>
          <w:b w:val="false"/>
          <w:color w:val="000000"/>
          <w:sz w:val="24"/>
        </w:rPr>
        <w:t>on</w:t>
      </w:r>
      <w:r>
        <w:rPr>
          <w:color w:val="000000"/>
        </w:rPr>
        <w:t xml:space="preserve"> </w:t>
      </w:r>
      <w:r>
        <w:rPr>
          <w:rFonts w:ascii="sans-serif" w:hAnsi="sans-serif"/>
          <w:b w:val="false"/>
          <w:color w:val="000000"/>
          <w:sz w:val="24"/>
        </w:rPr>
        <w:t>the</w:t>
      </w:r>
      <w:r>
        <w:rPr>
          <w:color w:val="000000"/>
        </w:rPr>
        <w:t xml:space="preserve"> </w:t>
      </w:r>
      <w:r>
        <w:rPr>
          <w:rFonts w:ascii="sans-serif" w:hAnsi="sans-serif"/>
          <w:b w:val="false"/>
          <w:color w:val="000000"/>
          <w:sz w:val="24"/>
        </w:rPr>
        <w:t>whole</w:t>
      </w:r>
      <w:r>
        <w:rPr>
          <w:color w:val="000000"/>
        </w:rPr>
        <w:t xml:space="preserve"> </w:t>
      </w:r>
      <w:r>
        <w:rPr>
          <w:rFonts w:ascii="sans-serif" w:hAnsi="sans-serif"/>
          <w:b w:val="false"/>
          <w:color w:val="000000"/>
          <w:sz w:val="24"/>
        </w:rPr>
        <w:t>taxable</w:t>
      </w:r>
      <w:r>
        <w:rPr>
          <w:color w:val="000000"/>
        </w:rPr>
        <w:t xml:space="preserve"> </w:t>
      </w:r>
      <w:r>
        <w:rPr>
          <w:rFonts w:ascii="sans-serif" w:hAnsi="sans-serif"/>
          <w:b w:val="false"/>
          <w:color w:val="000000"/>
          <w:sz w:val="24"/>
        </w:rPr>
        <w:t>amount,</w:t>
      </w:r>
      <w:r>
        <w:rPr>
          <w:color w:val="000000"/>
        </w:rPr>
        <w:t xml:space="preserve"> </w:t>
      </w:r>
      <w:r>
        <w:rPr>
          <w:rFonts w:ascii="sans-serif" w:hAnsi="sans-serif"/>
          <w:b w:val="false"/>
          <w:color w:val="000000"/>
          <w:sz w:val="24"/>
        </w:rPr>
        <w:t>at</w:t>
      </w:r>
      <w:r>
        <w:rPr>
          <w:color w:val="000000"/>
        </w:rPr>
        <w:t xml:space="preserve"> </w:t>
      </w:r>
      <w:r>
        <w:rPr>
          <w:rFonts w:ascii="sans-serif" w:hAnsi="sans-serif"/>
          <w:b w:val="false"/>
          <w:color w:val="000000"/>
          <w:sz w:val="24"/>
        </w:rPr>
        <w:t>Participant’s</w:t>
      </w:r>
      <w:r>
        <w:rPr>
          <w:color w:val="000000"/>
        </w:rPr>
        <w:t xml:space="preserve"> </w:t>
      </w:r>
      <w:r>
        <w:rPr>
          <w:rFonts w:ascii="sans-serif" w:hAnsi="sans-serif"/>
          <w:b w:val="false"/>
          <w:color w:val="000000"/>
          <w:sz w:val="24"/>
        </w:rPr>
        <w:t>marginal</w:t>
      </w:r>
      <w:r>
        <w:rPr>
          <w:color w:val="000000"/>
        </w:rPr>
        <w:t xml:space="preserve"> </w:t>
      </w:r>
      <w:r>
        <w:rPr>
          <w:rFonts w:ascii="sans-serif" w:hAnsi="sans-serif"/>
          <w:b w:val="false"/>
          <w:color w:val="000000"/>
          <w:sz w:val="24"/>
        </w:rPr>
        <w:t>income</w:t>
      </w:r>
      <w:r>
        <w:rPr>
          <w:color w:val="000000"/>
        </w:rPr>
        <w:t xml:space="preserve"> </w:t>
      </w:r>
      <w:r>
        <w:rPr>
          <w:rFonts w:ascii="sans-serif" w:hAnsi="sans-serif"/>
          <w:b w:val="false"/>
          <w:color w:val="000000"/>
          <w:sz w:val="24"/>
        </w:rPr>
        <w:t>tax</w:t>
      </w:r>
      <w:r>
        <w:rPr>
          <w:color w:val="000000"/>
        </w:rPr>
        <w:t xml:space="preserve"> </w:t>
      </w:r>
      <w:r>
        <w:rPr>
          <w:rFonts w:ascii="sans-serif" w:hAnsi="sans-serif"/>
          <w:b w:val="false"/>
          <w:color w:val="000000"/>
          <w:sz w:val="24"/>
        </w:rPr>
        <w:t>rate,</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will</w:t>
      </w:r>
      <w:r>
        <w:rPr>
          <w:color w:val="000000"/>
        </w:rPr>
        <w:t xml:space="preserve"> </w:t>
      </w:r>
      <w:r>
        <w:rPr>
          <w:rFonts w:ascii="sans-serif" w:hAnsi="sans-serif"/>
          <w:b w:val="false"/>
          <w:color w:val="000000"/>
          <w:sz w:val="24"/>
        </w:rPr>
        <w:t>be</w:t>
      </w:r>
      <w:r>
        <w:rPr>
          <w:color w:val="000000"/>
        </w:rPr>
        <w:t xml:space="preserve"> </w:t>
      </w:r>
      <w:r>
        <w:rPr>
          <w:rFonts w:ascii="sans-serif" w:hAnsi="sans-serif"/>
          <w:b w:val="false"/>
          <w:color w:val="000000"/>
          <w:sz w:val="24"/>
        </w:rPr>
        <w:t>also</w:t>
      </w:r>
      <w:r>
        <w:rPr>
          <w:color w:val="000000"/>
        </w:rPr>
        <w:t xml:space="preserve"> </w:t>
      </w:r>
      <w:r>
        <w:rPr>
          <w:rFonts w:ascii="sans-serif" w:hAnsi="sans-serif"/>
          <w:b w:val="false"/>
          <w:color w:val="000000"/>
          <w:sz w:val="24"/>
        </w:rPr>
        <w:t>required</w:t>
      </w:r>
      <w:r>
        <w:rPr>
          <w:color w:val="000000"/>
        </w:rPr>
        <w:t xml:space="preserve"> </w:t>
      </w:r>
      <w:r>
        <w:rPr>
          <w:rFonts w:ascii="sans-serif" w:hAnsi="sans-serif"/>
          <w:b w:val="false"/>
          <w:color w:val="000000"/>
          <w:sz w:val="24"/>
        </w:rPr>
        <w:t>to</w:t>
      </w:r>
      <w:r>
        <w:rPr>
          <w:color w:val="000000"/>
        </w:rPr>
        <w:t xml:space="preserve"> </w:t>
      </w:r>
      <w:r>
        <w:rPr>
          <w:rFonts w:ascii="sans-serif" w:hAnsi="sans-serif"/>
          <w:b w:val="false"/>
          <w:color w:val="000000"/>
          <w:sz w:val="24"/>
        </w:rPr>
        <w:t>pay</w:t>
      </w:r>
      <w:r>
        <w:rPr>
          <w:color w:val="000000"/>
        </w:rPr>
        <w:t xml:space="preserve"> </w:t>
      </w:r>
      <w:r>
        <w:rPr>
          <w:rFonts w:ascii="sans-serif" w:hAnsi="sans-serif"/>
          <w:b w:val="false"/>
          <w:color w:val="000000"/>
          <w:sz w:val="24"/>
        </w:rPr>
        <w:t>social</w:t>
      </w:r>
      <w:r>
        <w:rPr>
          <w:color w:val="000000"/>
        </w:rPr>
        <w:t xml:space="preserve"> </w:t>
      </w:r>
      <w:r>
        <w:rPr>
          <w:rFonts w:ascii="sans-serif" w:hAnsi="sans-serif"/>
          <w:b w:val="false"/>
          <w:color w:val="000000"/>
          <w:sz w:val="24"/>
        </w:rPr>
        <w:t>security</w:t>
      </w:r>
      <w:r>
        <w:rPr>
          <w:color w:val="000000"/>
        </w:rPr>
        <w:t xml:space="preserve"> </w:t>
      </w:r>
      <w:r>
        <w:rPr>
          <w:rFonts w:ascii="sans-serif" w:hAnsi="sans-serif"/>
          <w:b w:val="false"/>
          <w:color w:val="000000"/>
          <w:sz w:val="24"/>
        </w:rPr>
        <w:t>and</w:t>
      </w:r>
      <w:r>
        <w:rPr>
          <w:color w:val="000000"/>
        </w:rPr>
        <w:t xml:space="preserve"> </w:t>
      </w:r>
      <w:r>
        <w:rPr>
          <w:rFonts w:ascii="sans-serif" w:hAnsi="sans-serif"/>
          <w:b w:val="false"/>
          <w:color w:val="000000"/>
          <w:sz w:val="24"/>
        </w:rPr>
        <w:t>health</w:t>
      </w:r>
      <w:r>
        <w:rPr>
          <w:color w:val="000000"/>
        </w:rPr>
        <w:t xml:space="preserve"> </w:t>
      </w:r>
      <w:r>
        <w:rPr>
          <w:rFonts w:ascii="sans-serif" w:hAnsi="sans-serif"/>
          <w:b w:val="false"/>
          <w:color w:val="000000"/>
          <w:sz w:val="24"/>
        </w:rPr>
        <w:t>tax</w:t>
      </w:r>
      <w:r>
        <w:rPr>
          <w:color w:val="000000"/>
        </w:rPr>
        <w:t xml:space="preserve"> </w:t>
      </w:r>
      <w:r>
        <w:rPr>
          <w:rFonts w:ascii="sans-serif" w:hAnsi="sans-serif"/>
          <w:b w:val="false"/>
          <w:color w:val="000000"/>
          <w:sz w:val="24"/>
        </w:rPr>
        <w:t>contributions</w:t>
      </w:r>
      <w:r>
        <w:rPr>
          <w:color w:val="000000"/>
        </w:rPr>
        <w:t xml:space="preserve"> </w:t>
      </w:r>
      <w:r>
        <w:rPr>
          <w:rFonts w:ascii="sans-serif" w:hAnsi="sans-serif"/>
          <w:b w:val="false"/>
          <w:color w:val="000000"/>
          <w:sz w:val="24"/>
        </w:rPr>
        <w:t>on all</w:t>
      </w:r>
      <w:r>
        <w:rPr>
          <w:color w:val="000000"/>
        </w:rPr>
        <w:t xml:space="preserve"> </w:t>
      </w:r>
      <w:r>
        <w:rPr>
          <w:rFonts w:ascii="sans-serif" w:hAnsi="sans-serif"/>
          <w:b w:val="false"/>
          <w:color w:val="000000"/>
          <w:sz w:val="24"/>
        </w:rPr>
        <w:t>of this income.</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Further, by accepting the grant of Restricted Stock Units, Participant expresses Participant’s acceptance and confirmation of the following terms:</w:t>
      </w:r>
    </w:p>
    <w:p>
      <w:pPr>
        <w:pStyle w:val="TextBody"/>
        <w:bidi w:val="0"/>
        <w:spacing w:lineRule="auto" w:line="333" w:before="0" w:after="240"/>
        <w:ind w:left="0" w:right="0" w:hanging="360"/>
        <w:jc w:val="left"/>
        <w:rPr/>
      </w:pPr>
      <w:r>
        <w:rPr>
          <w:rFonts w:ascii="Arial;sans-serif" w:hAnsi="Arial;sans-serif"/>
          <w:b w:val="false"/>
          <w:color w:val="000000"/>
          <w:sz w:val="22"/>
        </w:rPr>
        <w:t>(1)</w:t>
      </w:r>
      <w:r>
        <w:rPr>
          <w:rFonts w:ascii="sans-serif" w:hAnsi="sans-serif"/>
          <w:b w:val="false"/>
          <w:color w:val="000000"/>
          <w:sz w:val="22"/>
        </w:rPr>
        <w:t>Participant</w:t>
      </w:r>
      <w:r>
        <w:rPr>
          <w:color w:val="000000"/>
        </w:rPr>
        <w:t xml:space="preserve"> </w:t>
      </w:r>
      <w:r>
        <w:rPr>
          <w:rFonts w:ascii="sans-serif" w:hAnsi="sans-serif"/>
          <w:b w:val="false"/>
          <w:color w:val="000000"/>
          <w:sz w:val="22"/>
        </w:rPr>
        <w:t>undertakes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comply</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terms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conditions</w:t>
      </w:r>
      <w:r>
        <w:rPr>
          <w:color w:val="000000"/>
        </w:rPr>
        <w:t xml:space="preserve"> </w:t>
      </w:r>
      <w:r>
        <w:rPr>
          <w:rFonts w:ascii="sans-serif" w:hAnsi="sans-serif"/>
          <w:b w:val="false"/>
          <w:color w:val="000000"/>
          <w:sz w:val="22"/>
        </w:rPr>
        <w:t>set</w:t>
      </w:r>
      <w:r>
        <w:rPr>
          <w:color w:val="000000"/>
        </w:rPr>
        <w:t xml:space="preserve"> </w:t>
      </w:r>
      <w:r>
        <w:rPr>
          <w:rFonts w:ascii="sans-serif" w:hAnsi="sans-serif"/>
          <w:b w:val="false"/>
          <w:color w:val="000000"/>
          <w:sz w:val="22"/>
        </w:rPr>
        <w:t>under</w:t>
      </w:r>
      <w:r>
        <w:rPr>
          <w:color w:val="000000"/>
        </w:rPr>
        <w:t xml:space="preserve"> </w:t>
      </w:r>
      <w:r>
        <w:rPr>
          <w:rFonts w:ascii="sans-serif" w:hAnsi="sans-serif"/>
          <w:b w:val="false"/>
          <w:color w:val="000000"/>
          <w:sz w:val="22"/>
        </w:rPr>
        <w:t>Section</w:t>
      </w:r>
      <w:r>
        <w:rPr>
          <w:color w:val="000000"/>
        </w:rPr>
        <w:t xml:space="preserve"> </w:t>
      </w:r>
      <w:r>
        <w:rPr>
          <w:rFonts w:ascii="sans-serif" w:hAnsi="sans-serif"/>
          <w:b w:val="false"/>
          <w:color w:val="000000"/>
          <w:sz w:val="22"/>
        </w:rPr>
        <w:t>102</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Ordinance with</w:t>
      </w:r>
      <w:r>
        <w:rPr>
          <w:color w:val="000000"/>
        </w:rPr>
        <w:t xml:space="preserve"> </w:t>
      </w:r>
      <w:r>
        <w:rPr>
          <w:rFonts w:ascii="sans-serif" w:hAnsi="sans-serif"/>
          <w:b w:val="false"/>
          <w:color w:val="000000"/>
          <w:sz w:val="22"/>
        </w:rPr>
        <w:t>regard</w:t>
      </w:r>
      <w:r>
        <w:rPr>
          <w:color w:val="000000"/>
        </w:rPr>
        <w:t xml:space="preserve"> </w:t>
      </w:r>
      <w:r>
        <w:rPr>
          <w:rFonts w:ascii="sans-serif" w:hAnsi="sans-serif"/>
          <w:b w:val="false"/>
          <w:color w:val="000000"/>
          <w:sz w:val="22"/>
        </w:rPr>
        <w:t>to the</w:t>
      </w:r>
      <w:r>
        <w:rPr>
          <w:color w:val="000000"/>
        </w:rPr>
        <w:t xml:space="preserve"> “</w:t>
      </w:r>
      <w:r>
        <w:rPr>
          <w:rFonts w:ascii="sans-serif" w:hAnsi="sans-serif"/>
          <w:b w:val="false"/>
          <w:color w:val="000000"/>
          <w:sz w:val="22"/>
        </w:rPr>
        <w:t>Capital Gains</w:t>
      </w:r>
      <w:r>
        <w:rPr>
          <w:color w:val="000000"/>
        </w:rPr>
        <w:t xml:space="preserve"> </w:t>
      </w:r>
      <w:r>
        <w:rPr>
          <w:rFonts w:ascii="sans-serif" w:hAnsi="sans-serif"/>
          <w:b w:val="false"/>
          <w:color w:val="000000"/>
          <w:sz w:val="22"/>
        </w:rPr>
        <w:t>Route” and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applicable regulations.</w:t>
      </w:r>
    </w:p>
    <w:p>
      <w:pPr>
        <w:pStyle w:val="TextBody"/>
        <w:bidi w:val="0"/>
        <w:spacing w:lineRule="auto" w:line="333" w:before="0" w:after="240"/>
        <w:ind w:left="0" w:right="0" w:hanging="360"/>
        <w:jc w:val="left"/>
        <w:rPr/>
      </w:pPr>
      <w:r>
        <w:rPr>
          <w:rFonts w:ascii="Arial;sans-serif" w:hAnsi="Arial;sans-serif"/>
          <w:b w:val="false"/>
          <w:color w:val="000000"/>
          <w:sz w:val="22"/>
        </w:rPr>
        <w:t>(2)</w:t>
      </w:r>
      <w:r>
        <w:rPr>
          <w:rFonts w:ascii="sans-serif" w:hAnsi="sans-serif"/>
          <w:b w:val="false"/>
          <w:color w:val="000000"/>
          <w:sz w:val="22"/>
        </w:rPr>
        <w:t>Participant has read and understand the Plan and Agreement and received all the clarifications and explanations that Participant has requested, if any.</w:t>
      </w:r>
    </w:p>
    <w:p>
      <w:pPr>
        <w:pStyle w:val="TextBody"/>
        <w:bidi w:val="0"/>
        <w:spacing w:lineRule="auto" w:line="333" w:before="0" w:after="240"/>
        <w:ind w:left="0" w:right="0" w:hanging="360"/>
        <w:jc w:val="left"/>
        <w:rPr/>
      </w:pPr>
      <w:r>
        <w:rPr>
          <w:rFonts w:ascii="Arial;sans-serif" w:hAnsi="Arial;sans-serif"/>
          <w:b w:val="false"/>
          <w:color w:val="000000"/>
          <w:sz w:val="22"/>
        </w:rPr>
        <w:t>(3)</w:t>
      </w:r>
      <w:r>
        <w:rPr>
          <w:rFonts w:ascii="sans-serif" w:hAnsi="sans-serif"/>
          <w:b w:val="false"/>
          <w:color w:val="000000"/>
          <w:sz w:val="22"/>
        </w:rPr>
        <w:t>Participant has</w:t>
      </w:r>
      <w:r>
        <w:rPr>
          <w:color w:val="000000"/>
        </w:rPr>
        <w:t xml:space="preserve"> </w:t>
      </w:r>
      <w:r>
        <w:rPr>
          <w:rFonts w:ascii="sans-serif" w:hAnsi="sans-serif"/>
          <w:b w:val="false"/>
          <w:color w:val="000000"/>
          <w:sz w:val="22"/>
        </w:rPr>
        <w:t>had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opportunity</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obtain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advice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counsel</w:t>
      </w:r>
      <w:r>
        <w:rPr>
          <w:color w:val="000000"/>
        </w:rPr>
        <w:t xml:space="preserve"> </w:t>
      </w:r>
      <w:r>
        <w:rPr>
          <w:rFonts w:ascii="sans-serif" w:hAnsi="sans-serif"/>
          <w:b w:val="false"/>
          <w:color w:val="000000"/>
          <w:sz w:val="22"/>
        </w:rPr>
        <w:t>prior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accepting</w:t>
      </w:r>
      <w:r>
        <w:rPr>
          <w:color w:val="000000"/>
        </w:rPr>
        <w:t xml:space="preserve"> </w:t>
      </w:r>
      <w:r>
        <w:rPr>
          <w:rFonts w:ascii="sans-serif" w:hAnsi="sans-serif"/>
          <w:b w:val="false"/>
          <w:color w:val="000000"/>
          <w:sz w:val="22"/>
        </w:rPr>
        <w:t>the grant of Restricted Stock Units.</w:t>
      </w:r>
      <w:r>
        <w:rPr>
          <w:color w:val="000000"/>
        </w:rPr>
        <w:t xml:space="preserve"> </w:t>
      </w:r>
      <w:r>
        <w:rPr>
          <w:rFonts w:ascii="sans-serif" w:hAnsi="sans-serif"/>
          <w:b w:val="false"/>
          <w:color w:val="000000"/>
          <w:sz w:val="22"/>
        </w:rPr>
        <w:t>Participant is familiar</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understands</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provisions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Section</w:t>
      </w:r>
      <w:r>
        <w:rPr>
          <w:color w:val="000000"/>
        </w:rPr>
        <w:t xml:space="preserve"> </w:t>
      </w:r>
      <w:r>
        <w:rPr>
          <w:rFonts w:ascii="sans-serif" w:hAnsi="sans-serif"/>
          <w:b w:val="false"/>
          <w:color w:val="000000"/>
          <w:sz w:val="22"/>
        </w:rPr>
        <w:t>102</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Ordinance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general,</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tax</w:t>
      </w:r>
      <w:r>
        <w:rPr>
          <w:color w:val="000000"/>
        </w:rPr>
        <w:t xml:space="preserve"> </w:t>
      </w:r>
      <w:r>
        <w:rPr>
          <w:rFonts w:ascii="sans-serif" w:hAnsi="sans-serif"/>
          <w:b w:val="false"/>
          <w:color w:val="000000"/>
          <w:sz w:val="22"/>
        </w:rPr>
        <w:t>arrangement</w:t>
      </w:r>
      <w:r>
        <w:rPr>
          <w:color w:val="000000"/>
        </w:rPr>
        <w:t xml:space="preserve"> </w:t>
      </w:r>
      <w:r>
        <w:rPr>
          <w:rFonts w:ascii="sans-serif" w:hAnsi="sans-serif"/>
          <w:b w:val="false"/>
          <w:color w:val="000000"/>
          <w:sz w:val="22"/>
        </w:rPr>
        <w:t>under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Capital</w:t>
      </w:r>
      <w:r>
        <w:rPr>
          <w:color w:val="000000"/>
        </w:rPr>
        <w:t xml:space="preserve"> </w:t>
      </w:r>
      <w:r>
        <w:rPr>
          <w:rFonts w:ascii="sans-serif" w:hAnsi="sans-serif"/>
          <w:b w:val="false"/>
          <w:color w:val="000000"/>
          <w:sz w:val="22"/>
        </w:rPr>
        <w:t>Gains</w:t>
      </w:r>
      <w:r>
        <w:rPr>
          <w:color w:val="000000"/>
        </w:rPr>
        <w:t xml:space="preserve"> </w:t>
      </w:r>
      <w:r>
        <w:rPr>
          <w:rFonts w:ascii="sans-serif" w:hAnsi="sans-serif"/>
          <w:b w:val="false"/>
          <w:color w:val="000000"/>
          <w:sz w:val="22"/>
        </w:rPr>
        <w:t>Route”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particular,</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agrees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comply</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provisions, as amended from time to time.</w:t>
      </w:r>
    </w:p>
    <w:p>
      <w:pPr>
        <w:pStyle w:val="TextBody"/>
        <w:bidi w:val="0"/>
        <w:spacing w:lineRule="auto" w:line="333" w:before="0" w:after="240"/>
        <w:ind w:left="0" w:right="0" w:hanging="360"/>
        <w:jc w:val="left"/>
        <w:rPr/>
      </w:pPr>
      <w:r>
        <w:rPr>
          <w:rFonts w:ascii="Arial;sans-serif" w:hAnsi="Arial;sans-serif"/>
          <w:b w:val="false"/>
          <w:color w:val="000000"/>
          <w:sz w:val="22"/>
        </w:rPr>
        <w:t>(4)</w:t>
      </w:r>
      <w:r>
        <w:rPr>
          <w:rFonts w:ascii="sans-serif" w:hAnsi="sans-serif"/>
          <w:b w:val="false"/>
          <w:color w:val="000000"/>
          <w:sz w:val="22"/>
        </w:rPr>
        <w:t>Participant</w:t>
      </w:r>
      <w:r>
        <w:rPr>
          <w:color w:val="000000"/>
        </w:rPr>
        <w:t xml:space="preserve"> </w:t>
      </w:r>
      <w:r>
        <w:rPr>
          <w:rFonts w:ascii="sans-serif" w:hAnsi="sans-serif"/>
          <w:b w:val="false"/>
          <w:color w:val="000000"/>
          <w:sz w:val="22"/>
        </w:rPr>
        <w:t>agrees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Awards</w:t>
      </w:r>
      <w:r>
        <w:rPr>
          <w:color w:val="000000"/>
        </w:rPr>
        <w:t xml:space="preserve"> </w:t>
      </w:r>
      <w:r>
        <w:rPr>
          <w:rFonts w:ascii="sans-serif" w:hAnsi="sans-serif"/>
          <w:b w:val="false"/>
          <w:color w:val="000000"/>
          <w:sz w:val="22"/>
        </w:rPr>
        <w:t>granted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Participant,</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the shares of Common</w:t>
      </w:r>
      <w:r>
        <w:rPr>
          <w:color w:val="000000"/>
        </w:rPr>
        <w:t xml:space="preserve"> </w:t>
      </w:r>
      <w:r>
        <w:rPr>
          <w:rFonts w:ascii="sans-serif" w:hAnsi="sans-serif"/>
          <w:b w:val="false"/>
          <w:color w:val="000000"/>
          <w:sz w:val="22"/>
        </w:rPr>
        <w:t>Stock</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may</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derived</w:t>
      </w:r>
      <w:r>
        <w:rPr>
          <w:color w:val="000000"/>
        </w:rPr>
        <w:t xml:space="preserve"> </w:t>
      </w:r>
      <w:r>
        <w:rPr>
          <w:rFonts w:ascii="sans-serif" w:hAnsi="sans-serif"/>
          <w:b w:val="false"/>
          <w:color w:val="000000"/>
          <w:sz w:val="22"/>
        </w:rPr>
        <w:t>from</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Awards,</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held</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controlled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trustee</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least</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duration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Lock-up</w:t>
      </w:r>
      <w:r>
        <w:rPr>
          <w:color w:val="000000"/>
        </w:rPr>
        <w:t xml:space="preserve"> </w:t>
      </w:r>
      <w:r>
        <w:rPr>
          <w:rFonts w:ascii="sans-serif" w:hAnsi="sans-serif"/>
          <w:b w:val="false"/>
          <w:color w:val="000000"/>
          <w:sz w:val="22"/>
        </w:rPr>
        <w:t>Period,</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determined</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Section</w:t>
      </w:r>
      <w:r>
        <w:rPr>
          <w:color w:val="000000"/>
        </w:rPr>
        <w:t xml:space="preserve"> </w:t>
      </w:r>
      <w:r>
        <w:rPr>
          <w:rFonts w:ascii="sans-serif" w:hAnsi="sans-serif"/>
          <w:b w:val="false"/>
          <w:color w:val="000000"/>
          <w:sz w:val="22"/>
        </w:rPr>
        <w:t>102</w:t>
      </w:r>
      <w:r>
        <w:rPr>
          <w:color w:val="000000"/>
        </w:rPr>
        <w:t xml:space="preserve"> </w:t>
      </w:r>
      <w:r>
        <w:rPr>
          <w:rFonts w:ascii="sans-serif" w:hAnsi="sans-serif"/>
          <w:b w:val="false"/>
          <w:color w:val="000000"/>
          <w:sz w:val="22"/>
        </w:rPr>
        <w:t>under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Capital</w:t>
      </w:r>
      <w:r>
        <w:rPr>
          <w:color w:val="000000"/>
        </w:rPr>
        <w:t xml:space="preserve"> </w:t>
      </w:r>
      <w:r>
        <w:rPr>
          <w:rFonts w:ascii="sans-serif" w:hAnsi="sans-serif"/>
          <w:b w:val="false"/>
          <w:color w:val="000000"/>
          <w:sz w:val="22"/>
        </w:rPr>
        <w:t>Gain</w:t>
      </w:r>
      <w:r>
        <w:rPr>
          <w:color w:val="000000"/>
        </w:rPr>
        <w:t xml:space="preserve"> </w:t>
      </w:r>
      <w:r>
        <w:rPr>
          <w:rFonts w:ascii="sans-serif" w:hAnsi="sans-serif"/>
          <w:b w:val="false"/>
          <w:color w:val="000000"/>
          <w:sz w:val="22"/>
        </w:rPr>
        <w:t>Route”</w:t>
      </w:r>
      <w:r>
        <w:rPr>
          <w:color w:val="000000"/>
        </w:rPr>
        <w:t xml:space="preserve"> </w:t>
      </w:r>
      <w:r>
        <w:rPr>
          <w:rFonts w:ascii="sans-serif" w:hAnsi="sans-serif"/>
          <w:b w:val="false"/>
          <w:color w:val="000000"/>
          <w:sz w:val="22"/>
        </w:rPr>
        <w:t>(currently</w:t>
      </w:r>
      <w:r>
        <w:rPr>
          <w:color w:val="000000"/>
        </w:rPr>
        <w:t xml:space="preserve"> </w:t>
      </w:r>
      <w:r>
        <w:rPr>
          <w:rFonts w:ascii="sans-serif" w:hAnsi="sans-serif"/>
          <w:b w:val="false"/>
          <w:color w:val="000000"/>
          <w:sz w:val="22"/>
        </w:rPr>
        <w:t>two</w:t>
      </w:r>
      <w:r>
        <w:rPr>
          <w:color w:val="000000"/>
        </w:rPr>
        <w:t xml:space="preserve"> </w:t>
      </w:r>
      <w:r>
        <w:rPr>
          <w:rFonts w:ascii="sans-serif" w:hAnsi="sans-serif"/>
          <w:b w:val="false"/>
          <w:color w:val="000000"/>
          <w:sz w:val="22"/>
        </w:rPr>
        <w:t>years</w:t>
      </w:r>
      <w:r>
        <w:rPr>
          <w:color w:val="000000"/>
        </w:rPr>
        <w:t xml:space="preserve"> </w:t>
      </w:r>
      <w:r>
        <w:rPr>
          <w:rFonts w:ascii="sans-serif" w:hAnsi="sans-serif"/>
          <w:b w:val="false"/>
          <w:color w:val="000000"/>
          <w:sz w:val="22"/>
        </w:rPr>
        <w:t>from</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date</w:t>
      </w:r>
      <w:r>
        <w:rPr>
          <w:color w:val="000000"/>
        </w:rPr>
        <w:t xml:space="preserve"> </w:t>
      </w:r>
      <w:r>
        <w:rPr>
          <w:rFonts w:ascii="sans-serif" w:hAnsi="sans-serif"/>
          <w:b w:val="false"/>
          <w:color w:val="000000"/>
          <w:sz w:val="22"/>
        </w:rPr>
        <w:t>in which the</w:t>
      </w:r>
      <w:r>
        <w:rPr>
          <w:color w:val="000000"/>
        </w:rPr>
        <w:t xml:space="preserve"> </w:t>
      </w:r>
      <w:r>
        <w:rPr>
          <w:rFonts w:ascii="sans-serif" w:hAnsi="sans-serif"/>
          <w:b w:val="false"/>
          <w:color w:val="000000"/>
          <w:sz w:val="22"/>
        </w:rPr>
        <w:t>Awards</w:t>
      </w:r>
      <w:r>
        <w:rPr>
          <w:color w:val="000000"/>
        </w:rPr>
        <w:t xml:space="preserve"> </w:t>
      </w:r>
      <w:r>
        <w:rPr>
          <w:rFonts w:ascii="sans-serif" w:hAnsi="sans-serif"/>
          <w:b w:val="false"/>
          <w:color w:val="000000"/>
          <w:sz w:val="22"/>
        </w:rPr>
        <w:t>were</w:t>
      </w:r>
      <w:r>
        <w:rPr>
          <w:color w:val="000000"/>
        </w:rPr>
        <w:t xml:space="preserve"> </w:t>
      </w:r>
      <w:r>
        <w:rPr>
          <w:rFonts w:ascii="sans-serif" w:hAnsi="sans-serif"/>
          <w:b w:val="false"/>
          <w:color w:val="000000"/>
          <w:sz w:val="22"/>
        </w:rPr>
        <w:t>granted).</w:t>
      </w:r>
    </w:p>
    <w:p>
      <w:pPr>
        <w:pStyle w:val="TextBody"/>
        <w:bidi w:val="0"/>
        <w:spacing w:lineRule="auto" w:line="333" w:before="0" w:after="240"/>
        <w:ind w:left="0" w:right="0" w:hanging="360"/>
        <w:jc w:val="left"/>
        <w:rPr/>
      </w:pPr>
      <w:r>
        <w:rPr>
          <w:rFonts w:ascii="Arial;sans-serif" w:hAnsi="Arial;sans-serif"/>
          <w:b w:val="false"/>
          <w:color w:val="000000"/>
          <w:sz w:val="22"/>
        </w:rPr>
        <w:t>(5)</w:t>
      </w:r>
      <w:r>
        <w:rPr>
          <w:rFonts w:ascii="sans-serif" w:hAnsi="sans-serif"/>
          <w:b w:val="false"/>
          <w:color w:val="000000"/>
          <w:sz w:val="22"/>
        </w:rPr>
        <w:t>Participant agrees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trust</w:t>
      </w:r>
      <w:r>
        <w:rPr>
          <w:color w:val="000000"/>
        </w:rPr>
        <w:t xml:space="preserve"> </w:t>
      </w:r>
      <w:r>
        <w:rPr>
          <w:rFonts w:ascii="sans-serif" w:hAnsi="sans-serif"/>
          <w:b w:val="false"/>
          <w:color w:val="000000"/>
          <w:sz w:val="22"/>
        </w:rPr>
        <w:t>deed</w:t>
      </w:r>
      <w:r>
        <w:rPr>
          <w:color w:val="000000"/>
        </w:rPr>
        <w:t xml:space="preserve"> </w:t>
      </w:r>
      <w:r>
        <w:rPr>
          <w:rFonts w:ascii="sans-serif" w:hAnsi="sans-serif"/>
          <w:b w:val="false"/>
          <w:color w:val="000000"/>
          <w:sz w:val="22"/>
        </w:rPr>
        <w:t>signed</w:t>
      </w:r>
      <w:r>
        <w:rPr>
          <w:color w:val="000000"/>
        </w:rPr>
        <w:t xml:space="preserve"> </w:t>
      </w:r>
      <w:r>
        <w:rPr>
          <w:rFonts w:ascii="sans-serif" w:hAnsi="sans-serif"/>
          <w:b w:val="false"/>
          <w:color w:val="000000"/>
          <w:sz w:val="22"/>
        </w:rPr>
        <w:t>between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Participant’s</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trustee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agree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bear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fees</w:t>
      </w:r>
      <w:r>
        <w:rPr>
          <w:color w:val="000000"/>
        </w:rPr>
        <w:t xml:space="preserve"> </w:t>
      </w:r>
      <w:r>
        <w:rPr>
          <w:rFonts w:ascii="sans-serif" w:hAnsi="sans-serif"/>
          <w:b w:val="false"/>
          <w:color w:val="000000"/>
          <w:sz w:val="22"/>
        </w:rPr>
        <w:t>associated</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exercise,</w:t>
      </w:r>
      <w:r>
        <w:rPr>
          <w:color w:val="000000"/>
        </w:rPr>
        <w:t xml:space="preserve"> </w:t>
      </w:r>
      <w:r>
        <w:rPr>
          <w:rFonts w:ascii="sans-serif" w:hAnsi="sans-serif"/>
          <w:b w:val="false"/>
          <w:color w:val="000000"/>
          <w:sz w:val="22"/>
        </w:rPr>
        <w:t>sale,</w:t>
      </w:r>
      <w:r>
        <w:rPr>
          <w:color w:val="000000"/>
        </w:rPr>
        <w:t xml:space="preserve"> </w:t>
      </w:r>
      <w:r>
        <w:rPr>
          <w:rFonts w:ascii="sans-serif" w:hAnsi="sans-serif"/>
          <w:b w:val="false"/>
          <w:color w:val="000000"/>
          <w:sz w:val="22"/>
        </w:rPr>
        <w:t>transfer</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act</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relation</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Awards.</w:t>
      </w:r>
    </w:p>
    <w:p>
      <w:pPr>
        <w:pStyle w:val="TextBody"/>
        <w:bidi w:val="0"/>
        <w:spacing w:lineRule="auto" w:line="333" w:before="0" w:after="240"/>
        <w:ind w:left="0" w:right="0" w:hanging="360"/>
        <w:jc w:val="left"/>
        <w:rPr/>
      </w:pPr>
      <w:r>
        <w:rPr>
          <w:rFonts w:ascii="Arial;sans-serif" w:hAnsi="Arial;sans-serif"/>
          <w:b w:val="false"/>
          <w:color w:val="000000"/>
          <w:sz w:val="22"/>
        </w:rPr>
        <w:t>(6)</w:t>
      </w:r>
      <w:r>
        <w:rPr>
          <w:rFonts w:ascii="sans-serif" w:hAnsi="sans-serif"/>
          <w:b w:val="false"/>
          <w:color w:val="000000"/>
          <w:sz w:val="22"/>
        </w:rPr>
        <w:t>Participant</w:t>
      </w:r>
      <w:r>
        <w:rPr>
          <w:color w:val="000000"/>
        </w:rPr>
        <w:t xml:space="preserve"> </w:t>
      </w:r>
      <w:r>
        <w:rPr>
          <w:rFonts w:ascii="sans-serif" w:hAnsi="sans-serif"/>
          <w:b w:val="false"/>
          <w:color w:val="000000"/>
          <w:sz w:val="22"/>
        </w:rPr>
        <w:t>understands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release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Awards</w:t>
      </w:r>
      <w:r>
        <w:rPr>
          <w:color w:val="000000"/>
        </w:rPr>
        <w:t xml:space="preserve"> </w:t>
      </w:r>
      <w:r>
        <w:rPr>
          <w:rFonts w:ascii="sans-serif" w:hAnsi="sans-serif"/>
          <w:b w:val="false"/>
          <w:color w:val="000000"/>
          <w:sz w:val="22"/>
        </w:rPr>
        <w:t>or shares of Common Stock</w:t>
      </w:r>
      <w:r>
        <w:rPr>
          <w:color w:val="000000"/>
        </w:rPr>
        <w:t xml:space="preserve"> </w:t>
      </w:r>
      <w:r>
        <w:rPr>
          <w:rFonts w:ascii="sans-serif" w:hAnsi="sans-serif"/>
          <w:b w:val="false"/>
          <w:color w:val="000000"/>
          <w:sz w:val="22"/>
        </w:rPr>
        <w:t>from</w:t>
      </w:r>
      <w:r>
        <w:rPr>
          <w:color w:val="000000"/>
        </w:rPr>
        <w:t xml:space="preserve"> </w:t>
      </w:r>
      <w:r>
        <w:rPr>
          <w:rFonts w:ascii="sans-serif" w:hAnsi="sans-serif"/>
          <w:b w:val="false"/>
          <w:color w:val="000000"/>
          <w:sz w:val="22"/>
        </w:rPr>
        <w:t>trust,</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sale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shares of Common</w:t>
      </w:r>
      <w:r>
        <w:rPr>
          <w:color w:val="000000"/>
        </w:rPr>
        <w:t xml:space="preserve"> </w:t>
      </w:r>
      <w:r>
        <w:rPr>
          <w:rFonts w:ascii="sans-serif" w:hAnsi="sans-serif"/>
          <w:b w:val="false"/>
          <w:color w:val="000000"/>
          <w:sz w:val="22"/>
        </w:rPr>
        <w:t>Stock</w:t>
      </w:r>
      <w:r>
        <w:rPr>
          <w:color w:val="000000"/>
        </w:rPr>
        <w:t xml:space="preserve"> </w:t>
      </w:r>
      <w:r>
        <w:rPr>
          <w:rFonts w:ascii="sans-serif" w:hAnsi="sans-serif"/>
          <w:b w:val="false"/>
          <w:color w:val="000000"/>
          <w:sz w:val="22"/>
        </w:rPr>
        <w:t>prior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termination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Lock-up</w:t>
      </w:r>
      <w:r>
        <w:rPr>
          <w:color w:val="000000"/>
        </w:rPr>
        <w:t xml:space="preserve"> </w:t>
      </w:r>
      <w:r>
        <w:rPr>
          <w:rFonts w:ascii="sans-serif" w:hAnsi="sans-serif"/>
          <w:b w:val="false"/>
          <w:color w:val="000000"/>
          <w:sz w:val="22"/>
        </w:rPr>
        <w:t>Period,</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result</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taxation at Participant’s marginal tax rate, in addition to deductions</w:t>
      </w:r>
      <w:r>
        <w:rPr>
          <w:color w:val="000000"/>
        </w:rPr>
        <w:t xml:space="preserve"> </w:t>
      </w:r>
      <w:r>
        <w:rPr>
          <w:rFonts w:ascii="sans-serif" w:hAnsi="sans-serif"/>
          <w:b w:val="false"/>
          <w:color w:val="000000"/>
          <w:sz w:val="22"/>
        </w:rPr>
        <w:t>of applicable social security and health tax contributions.</w:t>
      </w:r>
    </w:p>
    <w:p>
      <w:pPr>
        <w:pStyle w:val="TextBody"/>
        <w:bidi w:val="0"/>
        <w:spacing w:lineRule="auto" w:line="333" w:before="0" w:after="240"/>
        <w:ind w:left="0" w:right="0" w:hanging="360"/>
        <w:jc w:val="left"/>
        <w:rPr/>
      </w:pPr>
      <w:r>
        <w:rPr>
          <w:rFonts w:ascii="Arial;sans-serif" w:hAnsi="Arial;sans-serif"/>
          <w:b w:val="false"/>
          <w:color w:val="000000"/>
          <w:sz w:val="22"/>
        </w:rPr>
        <w:t>(7)</w:t>
      </w:r>
      <w:r>
        <w:rPr>
          <w:rFonts w:ascii="sans-serif" w:hAnsi="sans-serif"/>
          <w:b w:val="false"/>
          <w:color w:val="000000"/>
          <w:sz w:val="22"/>
        </w:rPr>
        <w:t>Participant</w:t>
      </w:r>
      <w:r>
        <w:rPr>
          <w:color w:val="000000"/>
        </w:rPr>
        <w:t xml:space="preserve"> </w:t>
      </w:r>
      <w:r>
        <w:rPr>
          <w:rFonts w:ascii="sans-serif" w:hAnsi="sans-serif"/>
          <w:b w:val="false"/>
          <w:color w:val="000000"/>
          <w:sz w:val="22"/>
        </w:rPr>
        <w:t>authorizes</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Company</w:t>
      </w:r>
      <w:r>
        <w:rPr>
          <w:color w:val="000000"/>
        </w:rPr>
        <w:t xml:space="preserve"> </w:t>
      </w:r>
      <w:r>
        <w:rPr>
          <w:rFonts w:ascii="sans-serif" w:hAnsi="sans-serif"/>
          <w:b w:val="false"/>
          <w:color w:val="000000"/>
          <w:sz w:val="22"/>
        </w:rPr>
        <w:t>and/or</w:t>
      </w:r>
      <w:r>
        <w:rPr>
          <w:color w:val="000000"/>
        </w:rPr>
        <w:t xml:space="preserve"> </w:t>
      </w:r>
      <w:r>
        <w:rPr>
          <w:rFonts w:ascii="sans-serif" w:hAnsi="sans-serif"/>
          <w:b w:val="false"/>
          <w:color w:val="000000"/>
          <w:sz w:val="22"/>
        </w:rPr>
        <w:t>Participant’s</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provide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trustee</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information</w:t>
      </w:r>
      <w:r>
        <w:rPr>
          <w:color w:val="000000"/>
        </w:rPr>
        <w:t xml:space="preserve"> </w:t>
      </w:r>
      <w:r>
        <w:rPr>
          <w:rFonts w:ascii="sans-serif" w:hAnsi="sans-serif"/>
          <w:b w:val="false"/>
          <w:color w:val="000000"/>
          <w:sz w:val="22"/>
        </w:rPr>
        <w:t>required</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purpose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administrating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grant</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Awards,</w:t>
      </w:r>
      <w:r>
        <w:rPr>
          <w:color w:val="000000"/>
        </w:rPr>
        <w:t xml:space="preserve"> </w:t>
      </w:r>
      <w:r>
        <w:rPr>
          <w:rFonts w:ascii="sans-serif" w:hAnsi="sans-serif"/>
          <w:b w:val="false"/>
          <w:color w:val="000000"/>
          <w:sz w:val="22"/>
        </w:rPr>
        <w:t>including</w:t>
      </w:r>
      <w:r>
        <w:rPr>
          <w:color w:val="000000"/>
        </w:rPr>
        <w:t xml:space="preserve"> </w:t>
      </w:r>
      <w:r>
        <w:rPr>
          <w:rFonts w:ascii="sans-serif" w:hAnsi="sans-serif"/>
          <w:b w:val="false"/>
          <w:color w:val="000000"/>
          <w:sz w:val="22"/>
        </w:rPr>
        <w:t>without</w:t>
      </w:r>
      <w:r>
        <w:rPr>
          <w:color w:val="000000"/>
        </w:rPr>
        <w:t xml:space="preserve"> </w:t>
      </w:r>
      <w:r>
        <w:rPr>
          <w:rFonts w:ascii="sans-serif" w:hAnsi="sans-serif"/>
          <w:b w:val="false"/>
          <w:color w:val="000000"/>
          <w:sz w:val="22"/>
        </w:rPr>
        <w:t>limitation</w:t>
      </w:r>
      <w:r>
        <w:rPr>
          <w:color w:val="000000"/>
        </w:rPr>
        <w:t xml:space="preserve"> </w:t>
      </w:r>
      <w:r>
        <w:rPr>
          <w:rFonts w:ascii="sans-serif" w:hAnsi="sans-serif"/>
          <w:b w:val="false"/>
          <w:color w:val="000000"/>
          <w:sz w:val="22"/>
        </w:rPr>
        <w:t>information</w:t>
      </w:r>
      <w:r>
        <w:rPr>
          <w:color w:val="000000"/>
        </w:rPr>
        <w:t xml:space="preserve"> </w:t>
      </w:r>
      <w:r>
        <w:rPr>
          <w:rFonts w:ascii="sans-serif" w:hAnsi="sans-serif"/>
          <w:b w:val="false"/>
          <w:color w:val="000000"/>
          <w:sz w:val="22"/>
        </w:rPr>
        <w:t>about</w:t>
      </w:r>
      <w:r>
        <w:rPr>
          <w:color w:val="000000"/>
        </w:rPr>
        <w:t xml:space="preserve"> </w:t>
      </w:r>
      <w:r>
        <w:rPr>
          <w:rFonts w:ascii="sans-serif" w:hAnsi="sans-serif"/>
          <w:b w:val="false"/>
          <w:color w:val="000000"/>
          <w:sz w:val="22"/>
        </w:rPr>
        <w:t>Participant’s Awards,</w:t>
      </w:r>
      <w:r>
        <w:rPr>
          <w:color w:val="000000"/>
        </w:rPr>
        <w:t xml:space="preserve"> </w:t>
      </w:r>
      <w:r>
        <w:rPr>
          <w:rFonts w:ascii="sans-serif" w:hAnsi="sans-serif"/>
          <w:b w:val="false"/>
          <w:color w:val="000000"/>
          <w:sz w:val="22"/>
        </w:rPr>
        <w:t>income</w:t>
      </w:r>
      <w:r>
        <w:rPr>
          <w:color w:val="000000"/>
        </w:rPr>
        <w:t xml:space="preserve"> </w:t>
      </w:r>
      <w:r>
        <w:rPr>
          <w:rFonts w:ascii="sans-serif" w:hAnsi="sans-serif"/>
          <w:b w:val="false"/>
          <w:color w:val="000000"/>
          <w:sz w:val="22"/>
        </w:rPr>
        <w:t>tax</w:t>
      </w:r>
      <w:r>
        <w:rPr>
          <w:color w:val="000000"/>
        </w:rPr>
        <w:t xml:space="preserve"> </w:t>
      </w:r>
      <w:r>
        <w:rPr>
          <w:rFonts w:ascii="sans-serif" w:hAnsi="sans-serif"/>
          <w:b w:val="false"/>
          <w:color w:val="000000"/>
          <w:sz w:val="22"/>
        </w:rPr>
        <w:t>rates,</w:t>
      </w:r>
      <w:r>
        <w:rPr>
          <w:color w:val="000000"/>
        </w:rPr>
        <w:t xml:space="preserve"> </w:t>
      </w:r>
      <w:r>
        <w:rPr>
          <w:rFonts w:ascii="sans-serif" w:hAnsi="sans-serif"/>
          <w:b w:val="false"/>
          <w:color w:val="000000"/>
          <w:sz w:val="22"/>
        </w:rPr>
        <w:t>salary</w:t>
      </w:r>
      <w:r>
        <w:rPr>
          <w:color w:val="000000"/>
        </w:rPr>
        <w:t xml:space="preserve"> </w:t>
      </w:r>
      <w:r>
        <w:rPr>
          <w:rFonts w:ascii="sans-serif" w:hAnsi="sans-serif"/>
          <w:b w:val="false"/>
          <w:color w:val="000000"/>
          <w:sz w:val="22"/>
        </w:rPr>
        <w:t>bank</w:t>
      </w:r>
      <w:r>
        <w:rPr>
          <w:color w:val="000000"/>
        </w:rPr>
        <w:t xml:space="preserve"> </w:t>
      </w:r>
      <w:r>
        <w:rPr>
          <w:rFonts w:ascii="sans-serif" w:hAnsi="sans-serif"/>
          <w:b w:val="false"/>
          <w:color w:val="000000"/>
          <w:sz w:val="22"/>
        </w:rPr>
        <w:t>account,</w:t>
      </w:r>
      <w:r>
        <w:rPr>
          <w:color w:val="000000"/>
        </w:rPr>
        <w:t xml:space="preserve"> </w:t>
      </w:r>
      <w:r>
        <w:rPr>
          <w:rFonts w:ascii="sans-serif" w:hAnsi="sans-serif"/>
          <w:b w:val="false"/>
          <w:color w:val="000000"/>
          <w:sz w:val="22"/>
        </w:rPr>
        <w:t>contact</w:t>
      </w:r>
      <w:r>
        <w:rPr>
          <w:color w:val="000000"/>
        </w:rPr>
        <w:t xml:space="preserve"> </w:t>
      </w:r>
      <w:r>
        <w:rPr>
          <w:rFonts w:ascii="sans-serif" w:hAnsi="sans-serif"/>
          <w:b w:val="false"/>
          <w:color w:val="000000"/>
          <w:sz w:val="22"/>
        </w:rPr>
        <w:t>details and</w:t>
      </w:r>
      <w:r>
        <w:rPr>
          <w:color w:val="000000"/>
        </w:rPr>
        <w:t xml:space="preserve"> </w:t>
      </w:r>
      <w:r>
        <w:rPr>
          <w:rFonts w:ascii="sans-serif" w:hAnsi="sans-serif"/>
          <w:b w:val="false"/>
          <w:color w:val="000000"/>
          <w:sz w:val="22"/>
        </w:rPr>
        <w:t>identification number.</w:t>
      </w:r>
    </w:p>
    <w:p>
      <w:pPr>
        <w:pStyle w:val="TextBody"/>
        <w:bidi w:val="0"/>
        <w:spacing w:lineRule="auto" w:line="333" w:before="0" w:after="240"/>
        <w:ind w:left="0" w:right="0" w:hanging="360"/>
        <w:jc w:val="left"/>
        <w:rPr/>
      </w:pPr>
      <w:r>
        <w:rPr>
          <w:rFonts w:ascii="Arial;sans-serif" w:hAnsi="Arial;sans-serif"/>
          <w:b w:val="false"/>
          <w:color w:val="000000"/>
          <w:sz w:val="22"/>
        </w:rPr>
        <w:t>(8)</w:t>
      </w:r>
      <w:r>
        <w:rPr>
          <w:rFonts w:ascii="sans-serif" w:hAnsi="sans-serif"/>
          <w:b w:val="false"/>
          <w:color w:val="000000"/>
          <w:sz w:val="22"/>
        </w:rPr>
        <w:t>Participant declares that Participant is a resident of the state of Israel for tax purposes and agrees to notify the Company upon any change in the residence address. Participant acknowledges that if Participant ceases to be an Israeli resident or if Participant’s engagement with the Company or any Subsidiary is terminated, the Awards and underlying shares of Common Stock shall remain subject to Section 102, the trust agreement, the Plan and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2560"/>
                <wp:effectExtent l="0" t="0" r="0" b="0"/>
                <wp:wrapNone/>
                <wp:docPr id="90" name="Frame8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Appendix-18</w:t>
                      </w:r>
                    </w:p>
                  </w:txbxContent>
                </v:textbox>
                <w10:wrap type="none"/>
              </v:rect>
            </w:pict>
          </mc:Fallback>
        </mc:AlternateConten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The following provision applies to Participant if Participant transfers into Israel after the Grant Date.</w:t>
      </w:r>
    </w:p>
    <w:p>
      <w:pPr>
        <w:pStyle w:val="TextBody"/>
        <w:bidi w:val="0"/>
        <w:spacing w:lineRule="auto" w:line="333" w:before="0" w:after="240"/>
        <w:jc w:val="both"/>
        <w:rPr/>
      </w:pPr>
      <w:r>
        <w:rPr>
          <w:rFonts w:ascii="sans-serif" w:hAnsi="sans-serif"/>
          <w:b w:val="false"/>
          <w:color w:val="000000"/>
          <w:sz w:val="24"/>
          <w:u w:val="single"/>
        </w:rPr>
        <w:t>Settlement</w:t>
      </w:r>
      <w:r>
        <w:rPr>
          <w:rFonts w:ascii="sans-serif" w:hAnsi="sans-serif"/>
          <w:b w:val="false"/>
          <w:color w:val="000000"/>
          <w:sz w:val="24"/>
        </w:rPr>
        <w:t>. The following provision supplements Section 2.6 of the Restricted Stock Unit Award Agreement.</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At the discretion of the Company, Participant may be subject to an immediate forced sale restriction, pursuant to which all shares of Common Stock acquired at vesting will be immediately sold and Participant will receive the sale proceeds less Tax-Related Items and applicable broker fees and commissions. In this case, Participant will not be entitled to hold any shares of Common Stock acquired at vesting.</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Securities Law Information</w:t>
      </w:r>
      <w:r>
        <w:rPr>
          <w:rFonts w:ascii="sans-serif" w:hAnsi="sans-serif"/>
          <w:b w:val="false"/>
          <w:color w:val="000000"/>
          <w:sz w:val="24"/>
        </w:rPr>
        <w:t>. An exemption from filing a prospectus in relation to the Plan has been granted to the Company by the Israeli Securities Authority. Copies of the Plan and the Form S-8 registration statement for the Plan filed with the U.S. Securities and Exchange Commission are available from equity@li.me.</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ITALY</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color w:val="000000"/>
          <w:sz w:val="24"/>
        </w:rPr>
        <w:t>Plan Document Acknowledgment</w:t>
      </w:r>
      <w:r>
        <w:rPr>
          <w:rFonts w:ascii="sans-serif" w:hAnsi="sans-serif"/>
          <w:b w:val="false"/>
          <w:color w:val="000000"/>
          <w:sz w:val="24"/>
        </w:rPr>
        <w:t xml:space="preserve">. By accepting the grant of the Restricted Stock Units, Participant acknowledges that Participant has received a copy of the Plan and the Agreement and have reviewed the Plan and the Agreement, in their entirety and fully understands and accepts all provisions of the Plan and the Agreement. Participant further acknowledges that Participant has read and specifically and expressly approves the Sections of the Agreement addressing (i) withholding obligations and responsibility for taxes, (ii) nature of grant, (iii) compliance with law, (iv) transferability, (v) governing law and venue, and (vi) data privacy provisions. </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color w:val="000000"/>
          <w:sz w:val="24"/>
        </w:rPr>
        <w:t>Foreign Asset/Account Reporting Information</w:t>
      </w:r>
      <w:r>
        <w:rPr>
          <w:rFonts w:ascii="sans-serif" w:hAnsi="sans-serif"/>
          <w:b w:val="false"/>
          <w:color w:val="000000"/>
          <w:sz w:val="24"/>
        </w:rPr>
        <w:t>. Italian residents who, during any fiscal year, hold investments or financial assets outside of Italy (</w:t>
      </w:r>
      <w:r>
        <w:rPr>
          <w:rFonts w:ascii="sans-serif" w:hAnsi="sans-serif"/>
          <w:b w:val="false"/>
          <w:i/>
          <w:color w:val="000000"/>
          <w:sz w:val="24"/>
        </w:rPr>
        <w:t>e.g.</w:t>
      </w:r>
      <w:r>
        <w:rPr>
          <w:rFonts w:ascii="sans-serif" w:hAnsi="sans-serif"/>
          <w:b w:val="false"/>
          <w:color w:val="000000"/>
          <w:sz w:val="24"/>
        </w:rPr>
        <w:t xml:space="preserve">, cash, shares of Common Stock) which may generate income taxable in Italy (or who are the beneficial owners of such an investment or asset even if not directly holding the investment or asset), are required to report such investments or assets on the annual tax return for such fiscal year (on UNICO Form, RW Schedule, or on a special form if not required to file a tax return).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2560"/>
                <wp:effectExtent l="0" t="0" r="0" b="0"/>
                <wp:wrapNone/>
                <wp:docPr id="91" name="Frame8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Appendix-19</w:t>
                      </w:r>
                    </w:p>
                  </w:txbxContent>
                </v:textbox>
                <w10:wrap type="none"/>
              </v:rect>
            </w:pict>
          </mc:Fallback>
        </mc:AlternateContent>
      </w:r>
    </w:p>
    <w:p>
      <w:pPr>
        <w:pStyle w:val="TextBody"/>
        <w:bidi w:val="0"/>
        <w:spacing w:lineRule="auto" w:line="333" w:before="0" w:after="240"/>
        <w:jc w:val="both"/>
        <w:rPr/>
      </w:pPr>
      <w:r>
        <w:rPr>
          <w:rFonts w:ascii="sans-serif" w:hAnsi="sans-serif"/>
          <w:b/>
          <w:color w:val="000000"/>
          <w:sz w:val="24"/>
        </w:rPr>
        <w:t>Foreign Financial Asset Tax Notification.</w:t>
      </w:r>
      <w:r>
        <w:rPr>
          <w:color w:val="000000"/>
        </w:rPr>
        <w:t xml:space="preserve"> </w:t>
      </w:r>
      <w:r>
        <w:rPr>
          <w:rFonts w:ascii="sans-serif" w:hAnsi="sans-serif"/>
          <w:b w:val="false"/>
          <w:color w:val="000000"/>
          <w:sz w:val="24"/>
        </w:rPr>
        <w:t>The value of any shares of Common Stock (and certain other foreign assets) an Italian resident holds outside Italy may be subject to a foreign financial assets tax. The taxable amount is equal to the fair market value of the shares of Common Stock on December 31 or on the last day the shares of Common Stock were held (the tax is levied in proportion to the number of days the shares of Common Stock were held over the calendar year). No tax payment duties arise if the amount of the foreign financial assets tax calculated on all financial assets held abroad does not exceed a certain threshold. The value of financial assets held abroad must be reported in Form RM of the annual tax return. Participant should consult Participant’s personal tax advisor for additional information about the foreign financial assets tax.</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JAPAN</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480"/>
        <w:jc w:val="both"/>
        <w:rPr/>
      </w:pPr>
      <w:r>
        <w:rPr>
          <w:rFonts w:ascii="sans-serif" w:hAnsi="sans-serif"/>
          <w:b w:val="false"/>
          <w:color w:val="000000"/>
          <w:sz w:val="24"/>
          <w:u w:val="single"/>
        </w:rPr>
        <w:t>Foreign Asset/Account Reporting Information</w:t>
      </w:r>
      <w:r>
        <w:rPr>
          <w:rFonts w:ascii="sans-serif" w:hAnsi="sans-serif"/>
          <w:b w:val="false"/>
          <w:color w:val="000000"/>
          <w:sz w:val="24"/>
        </w:rPr>
        <w:t>. Japanese residents are required to report to the Tax Office details of any assets held outside Japan (</w:t>
      </w:r>
      <w:r>
        <w:rPr>
          <w:rFonts w:ascii="sans-serif" w:hAnsi="sans-serif"/>
          <w:b w:val="false"/>
          <w:i/>
          <w:color w:val="000000"/>
          <w:sz w:val="24"/>
        </w:rPr>
        <w:t>e.g.</w:t>
      </w:r>
      <w:r>
        <w:rPr>
          <w:rFonts w:ascii="sans-serif" w:hAnsi="sans-serif"/>
          <w:b w:val="false"/>
          <w:color w:val="000000"/>
          <w:sz w:val="24"/>
        </w:rPr>
        <w:t>, shares of Common Stock acquired under the Plan) to the extent such assets have a total net fair market value exceeding a certain threshold (currently, ¥50,000,000) as of December 31 each year. Participant should consult with Participant’s personal tax advisor to ensure that Participant is properly complying with applicable reporting requirements in Japan.</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MALAYSIA</w:t>
      </w:r>
    </w:p>
    <w:p>
      <w:pPr>
        <w:pStyle w:val="TextBody"/>
        <w:bidi w:val="0"/>
        <w:spacing w:lineRule="auto" w:line="333" w:before="0" w:after="0"/>
        <w:jc w:val="left"/>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DATA PRIVACY</w:t>
      </w:r>
      <w:r>
        <w:rPr>
          <w:rFonts w:ascii="sans-serif" w:hAnsi="sans-serif"/>
          <w:b w:val="false"/>
          <w:color w:val="000000"/>
          <w:sz w:val="24"/>
        </w:rPr>
        <w:t xml:space="preserve">. THIS PROVISION REPLACES IN ITS ENTIRETY SECTION 11.8 OF THE PLAN AND IS DIRECTED AT PLAN PARTICIPANTS: </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 xml:space="preserve">YOU HEREBY EXPLICITLY AND UNAMBIGUOUSLY CONSENT TO THE COLLECTION, USE AND TRANSFER, IN ELECTRONIC OR OTHER FORM, OF YOUR PERSONAL DATA AS DESCRIBED IN THIS AGREEMENT AND ANY OTHER AWARD GRANT MATERIALS BY AND AMONG, AS APPLICABLE, THE EMPLOYER, THE COMPANY AND ANY OTHER SUBSIDIARIES FOR THE EXCLUSIVE PURPOSE OF IMPLEMENTING, ADMINISTERING AND MANAGING YOUR PARTICIPATION IN THE PLAN. </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 xml:space="preserve">You understand that the Company and the Employer may hold certain personal information about you, including, but not limited to, your name, home address and telephone number, email address, date of birth, social insurance, passport or other identification number (e.g., resident registration number), salary, nationality, job title, any shares of Common Stock or directorships held in the Company, details of all Awards or any other entitlement to shares of Common Stock or equivalent benefits awarded, canceled, purchased, exercised, vested, unvested or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2560"/>
                <wp:effectExtent l="0" t="0" r="0" b="0"/>
                <wp:wrapNone/>
                <wp:docPr id="92" name="Frame9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Appendix-20</w:t>
                      </w:r>
                    </w:p>
                  </w:txbxContent>
                </v:textbox>
                <w10:wrap type="none"/>
              </v:rect>
            </w:pict>
          </mc:Fallback>
        </mc:AlternateContent>
      </w:r>
    </w:p>
    <w:p>
      <w:pPr>
        <w:pStyle w:val="TextBody"/>
        <w:bidi w:val="0"/>
        <w:spacing w:lineRule="auto" w:line="333" w:before="0" w:after="240"/>
        <w:jc w:val="both"/>
        <w:rPr/>
      </w:pPr>
      <w:r>
        <w:rPr>
          <w:rFonts w:ascii="sans-serif" w:hAnsi="sans-serif"/>
          <w:b w:val="false"/>
          <w:i/>
          <w:color w:val="000000"/>
          <w:sz w:val="24"/>
        </w:rPr>
        <w:t>in your favor (“</w:t>
      </w:r>
      <w:r>
        <w:rPr>
          <w:rFonts w:ascii="sans-serif" w:hAnsi="sans-serif"/>
          <w:b/>
          <w:i/>
          <w:color w:val="000000"/>
          <w:sz w:val="24"/>
        </w:rPr>
        <w:t>Data</w:t>
      </w:r>
      <w:r>
        <w:rPr>
          <w:color w:val="000000"/>
        </w:rPr>
        <w:t>”</w:t>
      </w:r>
      <w:r>
        <w:rPr>
          <w:rFonts w:ascii="sans-serif" w:hAnsi="sans-serif"/>
          <w:b w:val="false"/>
          <w:i/>
          <w:color w:val="000000"/>
          <w:sz w:val="24"/>
        </w:rPr>
        <w:t>), for the exclusive purpose of implementing, administering and managing the Plan. Data is supplied by the Company and also by you through information collected in connection with the Agreement and the Plan.</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You understand that Data will be transferred to E*TRADE from Morgan Stanley or such other third-party service providers as may be selected by the Company in the future, which assist the Company with the implementation, administration and management of the Plan. Such third-party service providers may include the Company’s outside legal counsel as well as the Company’s auditor. You understand that the recipients of Data may be located in the United States or elsewhere, and that the recipients’ country may have different data privacy laws and protections than your country. You understand that you may request a list with the names and addresses of any potential recipients of Data by contacting your local human resources representative, [Insert Contact Information]. You authorize the Company, E*TRADE from Morgan Stanley and any other possible recipients which may assist the Company (presently or in the future) with implementing, administering and managing the Plan to receive, possess, use, retain and transfer Data, in electronic or other form, for the sole purposes of implementing, administering and managing your participation in the Plan, including any requisite transfer of such Data as may be required to a broker, escrow agent or other third party with whom any shares of Common Stock acquired under the Plan may be deposited. Further, you understand that Data may be transferred to governmental authorities if the Company or your Employer determine that such transfer is necessary or advisable for purposes of complying with Applicable Laws.</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You understand that Data will be held only as long as is necessary to implement, administer and manage your participation in the Plan. You understand that you may, at any time, view Data, request information about the storage and processing of Data, require any necessary amendments to Data, limit the processing of Data or refuse or withdraw the consents herein, in any case without cost, by contacting your local human resources representative. Further, you understand that you are providing the consents herein on a purely voluntary basis. If you do not consent, or if you later seek to revoke your consent, your employment or service with the Employer will not be affected; the only consequence of refusing or withdrawing your consent is that the Company would not be able to grant you Restricted Stock Units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2560"/>
                <wp:effectExtent l="0" t="0" r="0" b="0"/>
                <wp:wrapNone/>
                <wp:docPr id="93" name="Frame9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Appendix-21</w:t>
                      </w:r>
                    </w:p>
                  </w:txbxContent>
                </v:textbox>
                <w10:wrap type="none"/>
              </v:rect>
            </w:pict>
          </mc:Fallback>
        </mc:AlternateContent>
      </w:r>
    </w:p>
    <w:p>
      <w:pPr>
        <w:pStyle w:val="TextBody"/>
        <w:bidi w:val="0"/>
        <w:spacing w:lineRule="auto" w:line="333" w:before="0" w:after="240"/>
        <w:jc w:val="both"/>
        <w:rPr/>
      </w:pPr>
      <w:r>
        <w:rPr>
          <w:rFonts w:ascii="sans-serif" w:hAnsi="sans-serif"/>
          <w:b w:val="false"/>
          <w:color w:val="000000"/>
          <w:sz w:val="24"/>
        </w:rPr>
        <w:t>P</w:t>
      </w:r>
      <w:r>
        <w:rPr>
          <w:rFonts w:ascii="sans-serif" w:hAnsi="sans-serif"/>
          <w:b w:val="false"/>
          <w:i/>
          <w:color w:val="000000"/>
          <w:sz w:val="24"/>
        </w:rPr>
        <w:t xml:space="preserve">rivasi Data. </w:t>
      </w:r>
      <w:r>
        <w:rPr>
          <w:rFonts w:ascii="sans-serif" w:hAnsi="sans-serif"/>
          <w:b w:val="false"/>
          <w:color w:val="000000"/>
          <w:sz w:val="24"/>
        </w:rPr>
        <w:t>Peruntukan ini menggantikan Seksyen 11.8 Terma-terma dan Syarat-syarat untuk peserta-peserta bukan-U.S. secara keseluruhannya:</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 xml:space="preserve">Anda dengan ini secara eksplisit dan tanpa sebarang keraguan mengizinkan pengumpulan, penggunaan dan pemindahan, dalam bentuk elektronik atau lain-lain, data peribadi anda seperti yang diterangkan dalam Perjanjian ini dan apa-apa bahan pemberian Anugerah yang lain oleh dan di antara, seperti yang berkenaan, Majikan, Syarikat dan mana-mana Ahli Gabungan lain untuk tujuan eksklusif bagi melaksanakan, mentadbir dan menguruskan penyertaan anda di dalam Pelan. </w:t>
      </w:r>
    </w:p>
    <w:p>
      <w:pPr>
        <w:pStyle w:val="TextBody"/>
        <w:bidi w:val="0"/>
        <w:spacing w:lineRule="auto" w:line="333" w:before="0" w:after="240"/>
        <w:jc w:val="both"/>
        <w:rPr/>
      </w:pPr>
      <w:r>
        <w:rPr>
          <w:rFonts w:ascii="sans-serif" w:hAnsi="sans-serif"/>
          <w:b w:val="false"/>
          <w:i/>
          <w:color w:val="000000"/>
          <w:sz w:val="24"/>
        </w:rPr>
        <w:t>Anda memahami bahawa Syarikat dan Majikan mungkin memegang maklumat peribadi tertentu tentang anda, termasuk, tetapi tidak terhad kepada, nama anda, alamat rumah dan nombor telefon, alamat emel, tarikh lahir, nombor insurans sosial, pasport atau nombor pengenalan lain (seperti, nombor pendaftaran penduduk tetap atau nombor kad pengenalan), gaji, kewarganegaraan, jawatan, apa-apa syer Saham Biasa atau jawatan pengarah yang dipegang dalam Syarikat, butir-butir semua Anugerah atau apa-apa hak lain atas syer Saham Biasa atau faedah bersamaan yang dianugerahkan, dibatalkan, dibeli, dilaksanakan, terletak hak, tidak diletak hak ataupun yang belum dijelaskan bagi faedah anda (“</w:t>
      </w:r>
      <w:r>
        <w:rPr>
          <w:rFonts w:ascii="sans-serif" w:hAnsi="sans-serif"/>
          <w:b/>
          <w:i/>
          <w:color w:val="000000"/>
          <w:sz w:val="24"/>
        </w:rPr>
        <w:t>Data</w:t>
      </w:r>
      <w:r>
        <w:rPr>
          <w:color w:val="000000"/>
        </w:rPr>
        <w:t>”</w:t>
      </w:r>
      <w:r>
        <w:rPr>
          <w:rFonts w:ascii="sans-serif" w:hAnsi="sans-serif"/>
          <w:b w:val="false"/>
          <w:i/>
          <w:color w:val="000000"/>
          <w:sz w:val="24"/>
        </w:rPr>
        <w:t>), untuk tujuan eksklusif bagi melaksanakan, mentadbir dan menguruskan Pelan tersebut. Data tersebut dibekalkan oleh Syarikat dan juga oleh anda melalui maklumat yang dikumpul berkaitan dengan Perjanjian dan Pelan.</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 xml:space="preserve">Anda memahami bahawa Data ini akan dipindahkan kepada E*TRADE daripada Morgan Stanley atau pembekal perkhidmatan pihak ketiga lain yang mungkin dipilih oleh Syarikat pada masa depan, yang membantu Syarikat dengan pelaksanaan, pentadbiran dan pengurusan Pelan. Pembekal perkhidmatan pihak ketiga tersebut mungkin termasuk penasihat undang-undang luar Syarikat serta juruaudit Syarikat. Anda memahami bahawa penerima-penerima Data mungkin berada di Amerika Syarikat atau mana-mana tempat lain, dan bahawa negara penerima-penerima mungkin mempunyai undang-undang privasi data dan perlindungan yang berbeza daripada negara anda. Anda memahami bahawa anda boleh meminta satu senarai yang mengandungi nama-nama dan alamat-alamat penerima-penerima Data yang berpotensi dengan menghubungi wakil sumber manusia tempatan anda, iaitu [Insert HR contact]. Anda memberi kuasa kepada Syarikat, E*TRADE daripada Morgan Stanley dan mana-mana penerima-penerima lain yang mungkin membantu Syarikat (pada masa sekarang atau pada masa depan) dengan melaksanakan, mentadbir dan menguruskan Pelan untuk menerima, memiliki, menggunakan, mengekalkan dan memindahkan Data, dalam bentuk elektronik atau lain-lain, bagi tujuan tunggal melaksanakan, mentadbir dan menguruskan penyertaan anda di dalam Pelan, termasuk apa-apa pemindahan Data yang dikehendaki kepada broker, egen eskrow atau pihak ketiga dengan siapa sebarang syer Saham Biasa yang dibeli di bawah Pelan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2560"/>
                <wp:effectExtent l="0" t="0" r="0" b="0"/>
                <wp:wrapNone/>
                <wp:docPr id="94" name="Frame9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Appendix-22</w:t>
                      </w:r>
                    </w:p>
                  </w:txbxContent>
                </v:textbox>
                <w10:wrap type="none"/>
              </v:rect>
            </w:pict>
          </mc:Fallback>
        </mc:AlternateConten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boleh didepositkan. Selanjutnya, anda memahami bahawa Data boleh dipindahkan kepada pihak berkuasa kerajaan jika Syarikat atau Majikan anda menentukan bahawa pemindahan tersebut diperlukan atau dinasihatkan untuk tujuan mematuhi Undang-undang Terpakai.</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 xml:space="preserve">Anda memahami bahawa Data hanya akan disimpan selagi ia adalah diperlukan untuk melaksanakan, mentadbir, dan menguruskan penyertaan anda dalam Pelan. Anda memahami bahawa anda boleh, pada bila-bila masa, melihat Data, meminta maklumat mengenai penyimpanan dan pemprosesan Data, meminta mana-mana pindaan yang perlu ke atas Data, mengehadkan pemprosesan Data, atau menolak atau menarik balik persetujuan dalam ini, dalam mana-mana kes tanpa kos, dengan menghubungi wakil sumber manusia tempatan. Selanjutnya, anda memahami bahawa anda memberikan persetujuan di sini secara sukarela semata-mata. Sekiranya anda tidak bersetuju, atau sekiranya anda kemudian membatalkan persetujuan anda, status pekerjaan atau perkhidmatan anda dengan Syarikat tidak akan terjejas; satu-satunya akibat sekiranya anda tidak bersetuju atau menarik balik persetujuan anda adalah bahawa Syarikat tidak akan dapat memberikan anda Unit Saham atau anugerah ekuiti lain atau mentadbir atau mengekalkan anugerah-anugerah tersebut. Oleh itu, anda memahami bahawa keengganan atau penarikan balik persetujuan anda boleh menjejaskan keupayaan anda untuk mengambil bahagian dalam Pelan. Untuk maklumat lebih lanjut mengenai akibat-akibat keengganan anda untuk memberikan keizinan atau penarikan balik keizinan, anda memahami bahawa anda boleh menghubungi wakil sumber manusia tempatan. </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Director Notification Obligation</w:t>
      </w:r>
      <w:r>
        <w:rPr>
          <w:rFonts w:ascii="sans-serif" w:hAnsi="sans-serif"/>
          <w:b w:val="false"/>
          <w:color w:val="000000"/>
          <w:sz w:val="24"/>
        </w:rPr>
        <w:t>. If Participant is a director of a Malaysian Subsidiary, Participant is subject to certain notification requirements under the Malaysian Companies Act, 2016. Among these requirements is an obligation to notify the Malaysian Subsidiary in writing when Participant receives or disposes of an interest (</w:t>
      </w:r>
      <w:r>
        <w:rPr>
          <w:rFonts w:ascii="sans-serif" w:hAnsi="sans-serif"/>
          <w:b w:val="false"/>
          <w:i/>
          <w:color w:val="000000"/>
          <w:sz w:val="24"/>
        </w:rPr>
        <w:t>e.g.</w:t>
      </w:r>
      <w:r>
        <w:rPr>
          <w:rFonts w:ascii="sans-serif" w:hAnsi="sans-serif"/>
          <w:b w:val="false"/>
          <w:color w:val="000000"/>
          <w:sz w:val="24"/>
        </w:rPr>
        <w:t>, an Award under the Plan or shares of Common Stock) in the Company or any related company. Such notifications must be made within 14 days of receiving or disposing of any interest in the Company or any related company.</w:t>
      </w:r>
      <w:r>
        <w:rPr>
          <w:color w:val="000000"/>
        </w:rPr>
        <w:t xml:space="preserve"> </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NETHERLANDS</w:t>
      </w:r>
    </w:p>
    <w:p>
      <w:pPr>
        <w:pStyle w:val="TextBody"/>
        <w:bidi w:val="0"/>
        <w:spacing w:lineRule="auto" w:line="333" w:before="0" w:after="240"/>
        <w:jc w:val="left"/>
        <w:rPr>
          <w:rFonts w:ascii="sans-serif" w:hAnsi="sans-serif"/>
          <w:b w:val="false"/>
          <w:color w:val="000000"/>
          <w:sz w:val="24"/>
        </w:rPr>
      </w:pPr>
      <w:r>
        <w:rPr>
          <w:rFonts w:ascii="sans-serif" w:hAnsi="sans-serif"/>
          <w:b w:val="false"/>
          <w:color w:val="000000"/>
          <w:sz w:val="24"/>
        </w:rPr>
        <w:t>No country-specific provisions apply.</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NEW ZEALAND</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Securities Law Information</w:t>
      </w:r>
      <w:r>
        <w:rPr>
          <w:rFonts w:ascii="sans-serif" w:hAnsi="sans-serif"/>
          <w:b w:val="false"/>
          <w:color w:val="000000"/>
          <w:sz w:val="24"/>
        </w:rPr>
        <w:t xml:space="preserve">. </w:t>
      </w:r>
      <w:r>
        <w:rPr>
          <w:rFonts w:ascii="sans-serif" w:hAnsi="sans-serif"/>
          <w:b w:val="false"/>
          <w:i/>
          <w:color w:val="000000"/>
          <w:sz w:val="24"/>
        </w:rPr>
        <w:t>Warning</w:t>
      </w:r>
      <w:r>
        <w:rPr>
          <w:rFonts w:ascii="sans-serif" w:hAnsi="sans-serif"/>
          <w:b w:val="false"/>
          <w:color w:val="000000"/>
          <w:sz w:val="24"/>
        </w:rPr>
        <w:t xml:space="preserve">: </w:t>
      </w:r>
      <w:r>
        <w:rPr>
          <w:rFonts w:ascii="sans-serif" w:hAnsi="sans-serif"/>
          <w:b w:val="false"/>
          <w:i/>
          <w:color w:val="000000"/>
          <w:sz w:val="24"/>
        </w:rPr>
        <w:t xml:space="preserve">This is an offer of Restricted Stock Units, which upon vesting and settlement in accordance with the terms of the Plan and this Agreement, will be converted into shares of Common Stock. Restricted Stock Units give Participant a stake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2560"/>
                <wp:effectExtent l="0" t="0" r="0" b="0"/>
                <wp:wrapNone/>
                <wp:docPr id="95" name="Frame9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Appendix-23</w:t>
                      </w:r>
                    </w:p>
                  </w:txbxContent>
                </v:textbox>
                <w10:wrap type="none"/>
              </v:rect>
            </w:pict>
          </mc:Fallback>
        </mc:AlternateConten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ownership of the Company. Participant may receive a return if dividends are paid on the shares of Common Stock.</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If the Company runs into financial difficulties and is wound up, Participant will be paid only after all creditors have been paid. Participant may lose some or all of Participant’s investment.</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New Zealand law normally requires people who offer financial products to give information to investors before they invest. This information is designed to help investors to make an informed decision.</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 xml:space="preserve">The usual rules do not apply to this offer because it is made under an employee share scheme. As a result, Participant may not be given all the information usually required. Participant will also have fewer other legal protections for this investment. </w:t>
      </w:r>
    </w:p>
    <w:p>
      <w:pPr>
        <w:pStyle w:val="TextBody"/>
        <w:bidi w:val="0"/>
        <w:spacing w:lineRule="auto" w:line="333" w:before="0" w:after="240"/>
        <w:jc w:val="both"/>
        <w:rPr>
          <w:rFonts w:ascii="sans-serif" w:hAnsi="sans-serif"/>
          <w:b w:val="false"/>
          <w:i/>
          <w:color w:val="000000"/>
          <w:sz w:val="24"/>
        </w:rPr>
      </w:pPr>
      <w:r>
        <w:rPr>
          <w:rFonts w:ascii="sans-serif" w:hAnsi="sans-serif"/>
          <w:b w:val="false"/>
          <w:i/>
          <w:color w:val="000000"/>
          <w:sz w:val="24"/>
        </w:rPr>
        <w:t>Participant should ask questions, read all documents carefully, and seek independent financial advice.</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In addition, Participant is hereby notified that the documents listed below are available for review on the Company’s “Investor Relations” website at [ ], in Participant’s online E*TRADE account and on the Company’s internal website at [ ]: </w:t>
      </w:r>
    </w:p>
    <w:p>
      <w:pPr>
        <w:pStyle w:val="TextBody"/>
        <w:bidi w:val="0"/>
        <w:spacing w:lineRule="auto" w:line="333" w:before="0" w:after="240"/>
        <w:ind w:left="0" w:right="0" w:firstLine="720"/>
        <w:jc w:val="both"/>
        <w:rPr>
          <w:rFonts w:ascii="sans-serif" w:hAnsi="sans-serif"/>
          <w:b w:val="false"/>
          <w:color w:val="000000"/>
          <w:sz w:val="24"/>
        </w:rPr>
      </w:pPr>
      <w:r>
        <w:rPr>
          <w:rFonts w:ascii="sans-serif" w:hAnsi="sans-serif"/>
          <w:b w:val="false"/>
          <w:color w:val="000000"/>
          <w:sz w:val="24"/>
        </w:rPr>
        <w:t>(i)    this Agreement which together with the Plan sets forth the terms and conditions of participation in the Plan;</w:t>
      </w:r>
    </w:p>
    <w:p>
      <w:pPr>
        <w:pStyle w:val="TextBody"/>
        <w:bidi w:val="0"/>
        <w:spacing w:lineRule="auto" w:line="333" w:before="0" w:after="240"/>
        <w:ind w:left="0" w:right="0" w:firstLine="720"/>
        <w:jc w:val="both"/>
        <w:rPr/>
      </w:pPr>
      <w:r>
        <w:rPr>
          <w:rFonts w:ascii="sans-serif" w:hAnsi="sans-serif"/>
          <w:b w:val="false"/>
          <w:color w:val="000000"/>
          <w:sz w:val="24"/>
        </w:rPr>
        <w:t>(ii)    a copy of the Company’s most recent annual report (</w:t>
      </w:r>
      <w:r>
        <w:rPr>
          <w:rFonts w:ascii="sans-serif" w:hAnsi="sans-serif"/>
          <w:b w:val="false"/>
          <w:i/>
          <w:color w:val="000000"/>
          <w:sz w:val="24"/>
        </w:rPr>
        <w:t>i.e.,</w:t>
      </w:r>
      <w:r>
        <w:rPr>
          <w:color w:val="000000"/>
        </w:rPr>
        <w:t xml:space="preserve"> </w:t>
      </w:r>
      <w:r>
        <w:rPr>
          <w:rFonts w:ascii="sans-serif" w:hAnsi="sans-serif"/>
          <w:b w:val="false"/>
          <w:color w:val="000000"/>
          <w:sz w:val="24"/>
        </w:rPr>
        <w:t>Form 10-K);</w:t>
      </w:r>
    </w:p>
    <w:p>
      <w:pPr>
        <w:pStyle w:val="TextBody"/>
        <w:bidi w:val="0"/>
        <w:spacing w:lineRule="auto" w:line="333" w:before="0" w:after="240"/>
        <w:ind w:left="0" w:right="0" w:firstLine="720"/>
        <w:jc w:val="both"/>
        <w:rPr>
          <w:rFonts w:ascii="sans-serif" w:hAnsi="sans-serif"/>
          <w:b w:val="false"/>
          <w:color w:val="000000"/>
          <w:sz w:val="24"/>
        </w:rPr>
      </w:pPr>
      <w:r>
        <w:rPr>
          <w:rFonts w:ascii="sans-serif" w:hAnsi="sans-serif"/>
          <w:b w:val="false"/>
          <w:color w:val="000000"/>
          <w:sz w:val="24"/>
        </w:rPr>
        <w:t>(iii)     a copy of the Company’s most recent published financial statements;</w:t>
      </w:r>
    </w:p>
    <w:p>
      <w:pPr>
        <w:pStyle w:val="TextBody"/>
        <w:bidi w:val="0"/>
        <w:spacing w:lineRule="auto" w:line="333" w:before="0" w:after="240"/>
        <w:ind w:left="0" w:right="0" w:firstLine="720"/>
        <w:jc w:val="both"/>
        <w:rPr>
          <w:rFonts w:ascii="sans-serif" w:hAnsi="sans-serif"/>
          <w:b w:val="false"/>
          <w:color w:val="000000"/>
          <w:sz w:val="24"/>
        </w:rPr>
      </w:pPr>
      <w:r>
        <w:rPr>
          <w:rFonts w:ascii="sans-serif" w:hAnsi="sans-serif"/>
          <w:b w:val="false"/>
          <w:color w:val="000000"/>
          <w:sz w:val="24"/>
        </w:rPr>
        <w:t>(iv)    a copy of the Plan; and</w:t>
      </w:r>
    </w:p>
    <w:p>
      <w:pPr>
        <w:pStyle w:val="TextBody"/>
        <w:bidi w:val="0"/>
        <w:spacing w:lineRule="auto" w:line="333" w:before="0" w:after="240"/>
        <w:ind w:left="0" w:right="0" w:firstLine="720"/>
        <w:jc w:val="both"/>
        <w:rPr>
          <w:rFonts w:ascii="sans-serif" w:hAnsi="sans-serif"/>
          <w:b w:val="false"/>
          <w:color w:val="000000"/>
          <w:sz w:val="24"/>
        </w:rPr>
      </w:pPr>
      <w:r>
        <w:rPr>
          <w:rFonts w:ascii="sans-serif" w:hAnsi="sans-serif"/>
          <w:b w:val="false"/>
          <w:color w:val="000000"/>
          <w:sz w:val="24"/>
        </w:rPr>
        <w:t>(v)    a copy of the Plan Prospectus.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A copy of the above documents will be sent to Participant free of charge on written request to equity@li.me.</w:t>
      </w:r>
    </w:p>
    <w:p>
      <w:pPr>
        <w:pStyle w:val="TextBody"/>
        <w:bidi w:val="0"/>
        <w:spacing w:lineRule="auto" w:line="333" w:before="0" w:after="480"/>
        <w:jc w:val="both"/>
        <w:rPr>
          <w:rFonts w:ascii="sans-serif" w:hAnsi="sans-serif"/>
          <w:b w:val="false"/>
          <w:color w:val="000000"/>
          <w:sz w:val="24"/>
        </w:rPr>
      </w:pPr>
      <w:r>
        <w:rPr>
          <w:rFonts w:ascii="sans-serif" w:hAnsi="sans-serif"/>
          <w:b w:val="false"/>
          <w:color w:val="000000"/>
          <w:sz w:val="24"/>
        </w:rPr>
        <w:t>As noted above, Participant is advised to carefully read the materials provided before making a decision whether to participate in the Plan. Participant is also encouraged to contact Participant’s tax advisor for specific information concerning Participant’s personal tax situation with regard to Plan participation.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2560"/>
                <wp:effectExtent l="0" t="0" r="0" b="0"/>
                <wp:wrapNone/>
                <wp:docPr id="96" name="Frame9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Appendix-24</w:t>
                      </w:r>
                    </w:p>
                  </w:txbxContent>
                </v:textbox>
                <w10:wrap type="none"/>
              </v:rect>
            </w:pict>
          </mc:Fallback>
        </mc:AlternateConten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POLAND</w:t>
      </w:r>
    </w:p>
    <w:p>
      <w:pPr>
        <w:pStyle w:val="TextBody"/>
        <w:bidi w:val="0"/>
        <w:spacing w:lineRule="auto" w:line="333" w:before="0" w:after="240"/>
        <w:jc w:val="left"/>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Polish residents holding cash and foreign securities (including shares of Common Stock) in bank or brokerage accounts outside of Poland must report information to the National Bank of Poland on transactions and balances in such accounts if the value of such cash and securities exceeds a certain threshold (currently, PLN 7 million). If required, such reports must be filed on special forms available on the website of the National Bank of Poland. Participant should consult with Participant’s personal legal advisor to determine whether Participant will be required to submit reports to the National Bank of Poland.</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Further, any transfer of funds in excess of a certain threshold (currently, €15,000, or PLN 15,000 if such transfer of funds is connected with business activity of an entrepreneur) into or out of Poland must be effected through a bank account in Poland. All documents connected with any foreign exchange transactions must be retained for a period of five years from the end of the year in which the transaction occurred.</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PORTUGAL</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Cash Settlement</w:t>
      </w:r>
      <w:r>
        <w:rPr>
          <w:rFonts w:ascii="sans-serif" w:hAnsi="sans-serif"/>
          <w:b w:val="false"/>
          <w:color w:val="000000"/>
          <w:sz w:val="24"/>
        </w:rPr>
        <w:t>. Notwithstanding any provision in the Restricted Stock Unit Agreement and Special Country Provisions for RSUs to the contrary, any vested RSUs and dividend equivalents shall be settled by payment in cash or its equivalent of an amount equal in value to the Shares subject to such RSUs and dividend equivalents (using the closing price per Share on the Nasdaq Stock Market (or other principal exchange on which the Shares then trade) on the trading day immediately prior to the date of settlement). Any references to the issuance of Shares in any documents related to RSUs shall not be applicable. Notwithstanding the foregoing, the Company reserves the right to settle RSUs and/or dividend equivalents in Shares, in its discretion.</w:t>
      </w:r>
    </w:p>
    <w:p>
      <w:pPr>
        <w:pStyle w:val="TextBody"/>
        <w:bidi w:val="0"/>
        <w:spacing w:lineRule="auto" w:line="333" w:before="0" w:after="240"/>
        <w:jc w:val="both"/>
        <w:rPr/>
      </w:pPr>
      <w:r>
        <w:rPr>
          <w:rFonts w:ascii="sans-serif" w:hAnsi="sans-serif"/>
          <w:b w:val="false"/>
          <w:color w:val="000000"/>
          <w:sz w:val="24"/>
          <w:u w:val="single"/>
        </w:rPr>
        <w:t>Consent to Receive Information in English</w:t>
      </w:r>
      <w:r>
        <w:rPr>
          <w:rFonts w:ascii="sans-serif" w:hAnsi="sans-serif"/>
          <w:b w:val="false"/>
          <w:color w:val="000000"/>
          <w:sz w:val="24"/>
        </w:rPr>
        <w:t>. Participant hereby expressly declares that the Participant has full knowledge of the English language and has read, understood and fully accepted and agreed with the terms and conditions established in the Plan and Agreement.</w:t>
      </w:r>
    </w:p>
    <w:p>
      <w:pPr>
        <w:pStyle w:val="TextBody"/>
        <w:bidi w:val="0"/>
        <w:spacing w:lineRule="atLeast" w:line="288" w:before="0" w:after="480"/>
        <w:jc w:val="both"/>
        <w:rPr/>
      </w:pPr>
      <w:r>
        <w:rPr>
          <w:rFonts w:ascii="sans-serif" w:hAnsi="sans-serif"/>
          <w:b w:val="false"/>
          <w:color w:val="000000"/>
          <w:sz w:val="24"/>
          <w:u w:val="single"/>
        </w:rPr>
        <w:t>Conhecimento da Lingua</w:t>
      </w:r>
      <w:r>
        <w:rPr>
          <w:rFonts w:ascii="sans-serif" w:hAnsi="sans-serif"/>
          <w:b/>
          <w:i/>
          <w:color w:val="000000"/>
          <w:sz w:val="24"/>
        </w:rPr>
        <w:t>.</w:t>
      </w:r>
      <w:r>
        <w:rPr>
          <w:color w:val="000000"/>
        </w:rPr>
        <w:t xml:space="preserve"> </w:t>
      </w:r>
      <w:r>
        <w:rPr>
          <w:rFonts w:ascii="sans-serif" w:hAnsi="sans-serif"/>
          <w:b w:val="false"/>
          <w:i/>
          <w:color w:val="000000"/>
          <w:sz w:val="24"/>
        </w:rPr>
        <w:t>Contratado, pelo presente instrumento, declara expressamente que tem pleno conhecimento da língua inglesa e que leu, compreendeu e livremente aceitou e concordou com os termos e condições estabelecidas no Plano e no Acordo.</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2560"/>
                <wp:effectExtent l="0" t="0" r="0" b="0"/>
                <wp:wrapNone/>
                <wp:docPr id="97" name="Frame9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Appendix-25</w:t>
                      </w:r>
                    </w:p>
                  </w:txbxContent>
                </v:textbox>
                <w10:wrap type="none"/>
              </v:rect>
            </w:pict>
          </mc:Fallback>
        </mc:AlternateContent>
      </w:r>
    </w:p>
    <w:p>
      <w:pPr>
        <w:pStyle w:val="TextBody"/>
        <w:bidi w:val="0"/>
        <w:spacing w:lineRule="auto" w:line="333" w:before="0" w:after="0"/>
        <w:jc w:val="center"/>
        <w:rPr>
          <w:rFonts w:ascii="sans-serif" w:hAnsi="sans-serif"/>
          <w:b/>
          <w:color w:val="000000"/>
          <w:sz w:val="24"/>
          <w:u w:val="single"/>
        </w:rPr>
      </w:pPr>
      <w:r>
        <w:rPr>
          <w:rFonts w:ascii="sans-serif" w:hAnsi="sans-serif"/>
          <w:b/>
          <w:color w:val="000000"/>
          <w:sz w:val="24"/>
          <w:u w:val="single"/>
        </w:rPr>
        <w:t>ROMANIA</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Cash Settlement</w:t>
      </w:r>
      <w:r>
        <w:rPr>
          <w:rFonts w:ascii="sans-serif" w:hAnsi="sans-serif"/>
          <w:b w:val="false"/>
          <w:color w:val="000000"/>
          <w:sz w:val="24"/>
        </w:rPr>
        <w:t>. Notwithstanding any provision in the Restricted Stock Unit Agreement and the Special Country Provisions for RSUs to the contrary, any vested RSUs and dividend equivalents shall be settled by payment in cash or its equivalent of an amount equal in value to the Shares subject to such RSUs and dividend equivalents (using the closing price per Share on the Nasdaq Stock Market (or other principal exchange on which the Shares then trade) on the trading day immediately prior to the date of settlement). Any references to the issuance of Shares in any documents related to RSUs shall not be applicable. Notwithstanding the foregoing, the Company reserves the right to settle RSUs and/or dividend equivalents in Shares, in its discretion.</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If the Participant deposits the proceeds from settlement of the RSUs in a bank account in Romania, the Participant may be required to provide the Romanian bank with appropriate documentation explaining the source of the funds. The Participant should consult the Participant’s personal advisor to determine whether the Participant will be required to submit such documentation to the Romanian bank.</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SPAIN</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Labor Law Acknowledgment</w:t>
      </w:r>
      <w:r>
        <w:rPr>
          <w:rFonts w:ascii="sans-serif" w:hAnsi="sans-serif"/>
          <w:b w:val="false"/>
          <w:color w:val="000000"/>
          <w:sz w:val="24"/>
        </w:rPr>
        <w:t xml:space="preserve">.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By accepting the RSUs, Participant consents to participate in the Plan and acknowledges that Participant has received a copy of the Plan.</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Participant understands that the Company has unilaterally, gratuitously and in its sole discretion decided to grant the RSUs under the Plan to individuals who may be Employees, Consultants, Directors, or Non-Employee Directors of the Company or any parent, Subsidiary or affiliate throughout the world. The decision is a limited decision that is entered into upon the express assumption and condition that any grant will not economically or otherwise bind the Company or any parent, Subsidiary or affiliate. Consequently, Participant understands that the RSUs are granted on the assumption and condition that the RSUs and the Shares issued upon settlement of the RSUs shall not become a part of any employment or service agreement (either with the Company or any parent, Subsidiary or affiliate) and shall not be considered a mandatory benefit, salary for any purposes (including severance compensation) or any other right whatsoever.</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2560"/>
                <wp:effectExtent l="0" t="0" r="0" b="0"/>
                <wp:wrapNone/>
                <wp:docPr id="98" name="Frame9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Appendix-26</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As a condition of the grant of the RSUs, unless otherwise provided by the Company or in the Agreement, Participant’s Termination of Service will generally automatically result in the forfeiture and loss of the Shares subject to the unvested portion of the RSUs. In particular, and without limitation to the provisions of the Plan, Participant understands and agrees that any unvested portion of the RSUs as of the date of Participant’s Termination of Service will be cancelled without entitlement to the underlying Shares or to any amount as indemnification if Participant terminates Service by reason of, including, but not limited to, resignation, retirement, disciplinary dismissal adjudged to be with cause, disciplinary dismissal adjudged or recognized to be without cause (i.e.,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and/or Article 50 of the Workers’ Statute, unilateral withdrawal by the Service Recipient and under Article 10.3 of the Royal Decree 1382/1985.</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Finally, Participant understands that the grant of the RSUs would not be made to Participant but for the assumptions and conditions referred to herein; thus, Participant acknowledges and freely accepts that, should any or all of the assumptions be mistaken or should any of the conditions not be met for any reason, then the grant of the RSUs shall be null and void.</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tLeast" w:line="288" w:before="0" w:after="240"/>
        <w:jc w:val="both"/>
        <w:rPr/>
      </w:pPr>
      <w:r>
        <w:rPr>
          <w:rFonts w:ascii="sans-serif" w:hAnsi="sans-serif"/>
          <w:b w:val="false"/>
          <w:color w:val="000000"/>
          <w:sz w:val="24"/>
          <w:u w:val="single"/>
        </w:rPr>
        <w:t>Securities Law Information</w:t>
      </w:r>
      <w:r>
        <w:rPr>
          <w:rFonts w:ascii="sans-serif" w:hAnsi="sans-serif"/>
          <w:b w:val="false"/>
          <w:color w:val="000000"/>
          <w:sz w:val="24"/>
        </w:rPr>
        <w:t>. No “offer of securities to the public,” as defined under Spanish law, has taken place or will take place in the Spanish territory. The Agreement and the Plan have not been nor will they be registered with the Comisión Nacional del Mercado de Valores (the Spanish securities regulator), and none of these documents constitutes a public offering prospectus.</w:t>
      </w:r>
    </w:p>
    <w:p>
      <w:pPr>
        <w:pStyle w:val="TextBody"/>
        <w:bidi w:val="0"/>
        <w:spacing w:lineRule="auto" w:line="333" w:before="0" w:after="240"/>
        <w:jc w:val="both"/>
        <w:rPr/>
      </w:pPr>
      <w:r>
        <w:rPr>
          <w:rFonts w:ascii="sans-serif" w:hAnsi="sans-serif"/>
          <w:b w:val="false"/>
          <w:color w:val="000000"/>
          <w:sz w:val="24"/>
          <w:u w:val="single"/>
        </w:rPr>
        <w:t>Exchange Control Information</w:t>
      </w:r>
      <w:r>
        <w:rPr>
          <w:rFonts w:ascii="sans-serif" w:hAnsi="sans-serif"/>
          <w:b w:val="false"/>
          <w:color w:val="000000"/>
          <w:sz w:val="24"/>
        </w:rPr>
        <w:t>. Participant is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EUR 1,000,000.</w: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SWEDEN</w:t>
      </w:r>
    </w:p>
    <w:p>
      <w:pPr>
        <w:pStyle w:val="TextBody"/>
        <w:bidi w:val="0"/>
        <w:spacing w:lineRule="auto" w:line="333" w:before="0" w:after="240"/>
        <w:jc w:val="both"/>
        <w:rPr/>
      </w:pPr>
      <w:r>
        <w:rPr>
          <w:rFonts w:ascii="sans-serif" w:hAnsi="sans-serif"/>
          <w:b w:val="false"/>
          <w:color w:val="000000"/>
          <w:sz w:val="24"/>
          <w:u w:val="single"/>
        </w:rPr>
        <w:t>Responsibility for Taxes</w:t>
      </w:r>
      <w:r>
        <w:rPr>
          <w:rFonts w:ascii="sans-serif" w:hAnsi="sans-serif"/>
          <w:b w:val="false"/>
          <w:color w:val="000000"/>
          <w:sz w:val="24"/>
        </w:rPr>
        <w:t>. The following provision supplements the Special Country Provisions for RSUs:</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Without limiting the Company and the Employer’s authority to satisfy their withholding obligations for Tax-Related Items as set forth in the Agreement or the Special Country Provisions for RSUs, by accepting the grant of the Restricted Stock Units, Participant authorizes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2560"/>
                <wp:effectExtent l="0" t="0" r="0" b="0"/>
                <wp:wrapNone/>
                <wp:docPr id="99" name="Frame9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Appendix-27</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the Company and/or the Employer to withhold shares of Common Stock or to sell shares of Common Stock otherwise deliverable to Participant upon vesting and settlement of the Restricted Stock Units in order to satisfy Tax-Related Items, regardless of whether the Company and/or the Employer has an obligation to withhold such Tax-Related Items.</w:t>
      </w:r>
    </w:p>
    <w:p>
      <w:pPr>
        <w:pStyle w:val="TextBody"/>
        <w:bidi w:val="0"/>
        <w:spacing w:lineRule="auto" w:line="333" w:before="0" w:after="0"/>
        <w:jc w:val="center"/>
        <w:rPr>
          <w:rFonts w:ascii="sans-serif" w:hAnsi="sans-serif"/>
          <w:b/>
          <w:color w:val="000000"/>
          <w:sz w:val="24"/>
          <w:u w:val="single"/>
        </w:rPr>
      </w:pPr>
      <w:r>
        <w:rPr>
          <w:rFonts w:ascii="sans-serif" w:hAnsi="sans-serif"/>
          <w:b/>
          <w:color w:val="000000"/>
          <w:sz w:val="24"/>
          <w:u w:val="single"/>
        </w:rPr>
        <w:t>SWITZERLAND</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Notifications</w:t>
      </w:r>
    </w:p>
    <w:p>
      <w:pPr>
        <w:pStyle w:val="TextBody"/>
        <w:bidi w:val="0"/>
        <w:spacing w:lineRule="auto" w:line="333" w:before="0" w:after="720"/>
        <w:jc w:val="both"/>
        <w:rPr/>
      </w:pPr>
      <w:r>
        <w:rPr>
          <w:rFonts w:ascii="sans-serif" w:hAnsi="sans-serif"/>
          <w:b w:val="false"/>
          <w:color w:val="000000"/>
          <w:sz w:val="24"/>
          <w:u w:val="single"/>
        </w:rPr>
        <w:t>Securities Law Information</w:t>
      </w:r>
      <w:r>
        <w:rPr>
          <w:rFonts w:ascii="sans-serif" w:hAnsi="sans-serif"/>
          <w:b w:val="false"/>
          <w:color w:val="000000"/>
          <w:sz w:val="24"/>
        </w:rPr>
        <w:t>. Neither this document nor any other materials relating to the Restricted Stock Units (i) constitutes a prospectus according to articles 35 et seq. of the Swiss Federal Act on Financial Services (“</w:t>
      </w:r>
      <w:r>
        <w:rPr>
          <w:rFonts w:ascii="sans-serif" w:hAnsi="sans-serif"/>
          <w:b/>
          <w:i/>
          <w:color w:val="000000"/>
          <w:sz w:val="24"/>
        </w:rPr>
        <w:t>FinSA</w:t>
      </w:r>
      <w:r>
        <w:rPr>
          <w:color w:val="000000"/>
        </w:rPr>
        <w:t>”</w:t>
      </w:r>
      <w:r>
        <w:rPr>
          <w:rFonts w:ascii="sans-serif" w:hAnsi="sans-serif"/>
          <w:b w:val="false"/>
          <w:color w:val="000000"/>
          <w:sz w:val="24"/>
        </w:rPr>
        <w:t>) (ii) may be publicly distributed or otherwise made publicly available in Switzerland to any person other than an employee of the Company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333" w:before="0" w:after="240"/>
        <w:jc w:val="center"/>
        <w:rPr>
          <w:rFonts w:ascii="sans-serif" w:hAnsi="sans-serif"/>
          <w:b/>
          <w:color w:val="010000"/>
          <w:sz w:val="24"/>
          <w:u w:val="single"/>
        </w:rPr>
      </w:pPr>
      <w:r>
        <w:rPr>
          <w:rFonts w:ascii="sans-serif" w:hAnsi="sans-serif"/>
          <w:b/>
          <w:color w:val="010000"/>
          <w:sz w:val="24"/>
          <w:u w:val="single"/>
        </w:rPr>
        <w:t>VIETNAM</w:t>
      </w:r>
    </w:p>
    <w:p>
      <w:pPr>
        <w:pStyle w:val="TextBody"/>
        <w:bidi w:val="0"/>
        <w:spacing w:lineRule="auto" w:line="333" w:before="0" w:after="240"/>
        <w:jc w:val="both"/>
        <w:rPr>
          <w:rFonts w:ascii="sans-serif" w:hAnsi="sans-serif"/>
          <w:b/>
          <w:i/>
          <w:color w:val="000000"/>
          <w:sz w:val="24"/>
        </w:rPr>
      </w:pPr>
      <w:r>
        <w:rPr>
          <w:rFonts w:ascii="sans-serif" w:hAnsi="sans-serif"/>
          <w:b/>
          <w:i/>
          <w:color w:val="000000"/>
          <w:sz w:val="24"/>
        </w:rPr>
        <w:t>Terms and Conditions</w:t>
      </w:r>
    </w:p>
    <w:p>
      <w:pPr>
        <w:pStyle w:val="TextBody"/>
        <w:bidi w:val="0"/>
        <w:spacing w:lineRule="auto" w:line="333" w:before="0" w:after="240"/>
        <w:jc w:val="both"/>
        <w:rPr/>
      </w:pPr>
      <w:r>
        <w:rPr>
          <w:rFonts w:ascii="sans-serif" w:hAnsi="sans-serif"/>
          <w:b w:val="false"/>
          <w:color w:val="000000"/>
          <w:sz w:val="24"/>
          <w:u w:val="single"/>
        </w:rPr>
        <w:t>Cash Settlement</w:t>
      </w:r>
      <w:r>
        <w:rPr>
          <w:rFonts w:ascii="sans-serif" w:hAnsi="sans-serif"/>
          <w:b w:val="false"/>
          <w:color w:val="000000"/>
          <w:sz w:val="24"/>
        </w:rPr>
        <w:t>. Notwithstanding any provision in the Restricted Stock Unit Agreement and the Terms and Conditions for Non-U.S. Participants to the contrary, any vested RSUs and dividend equivalents shall be settled by payment in cash or its equivalent of an amount equal in value to the Shares subject to such RSUs and dividend equivalents (using the closing price per Share on the Nasdaq Stock Market (or other principal exchange on which the Shares then trade) on the trading day immediately prior to the date of settlement). Any references to the issuance of Shares in any documents related to RSUs shall not be applicable. Notwithstanding the foregoing, the Company reserves the right to settle RSUs and/or dividend equivalents in Shares, in its discretion.</w:t>
      </w:r>
    </w:p>
    <w:p>
      <w:pPr>
        <w:pStyle w:val="TextBody"/>
        <w:bidi w:val="0"/>
        <w:spacing w:lineRule="auto" w:line="333" w:before="0" w:after="480"/>
        <w:jc w:val="both"/>
        <w:rPr/>
      </w:pPr>
      <w:r>
        <w:rPr>
          <w:rFonts w:ascii="sans-serif" w:hAnsi="sans-serif"/>
          <w:b w:val="false"/>
          <w:color w:val="000000"/>
          <w:sz w:val="24"/>
          <w:u w:val="single"/>
        </w:rPr>
        <w:t>Payment of Proceeds</w:t>
      </w:r>
      <w:r>
        <w:rPr>
          <w:rFonts w:ascii="sans-serif" w:hAnsi="sans-serif"/>
          <w:b w:val="false"/>
          <w:color w:val="000000"/>
          <w:sz w:val="24"/>
        </w:rPr>
        <w:t>. Any cash payment received by the Participant upon settlement of RSUs will be paid to the Participant through local payroll in Vietnam. In no event will payments under the Plan be made to the Participant into an account outside of Vietnam.</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2560"/>
                <wp:effectExtent l="0" t="0" r="0" b="0"/>
                <wp:wrapNone/>
                <wp:docPr id="100" name="Frame9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Appendix-28</w:t>
                      </w:r>
                    </w:p>
                  </w:txbxContent>
                </v:textbox>
                <w10:wrap type="none"/>
              </v:rect>
            </w:pict>
          </mc:Fallback>
        </mc:AlternateContent>
      </w:r>
    </w:p>
    <w:p>
      <w:pPr>
        <w:pStyle w:val="TextBody"/>
        <w:bidi w:val="0"/>
        <w:spacing w:lineRule="auto" w:line="333" w:before="0" w:after="240"/>
        <w:jc w:val="center"/>
        <w:rPr>
          <w:rFonts w:ascii="sans-serif" w:hAnsi="sans-serif"/>
          <w:b/>
          <w:color w:val="010000"/>
          <w:sz w:val="24"/>
          <w:u w:val="single"/>
        </w:rPr>
      </w:pPr>
      <w:r>
        <w:rPr>
          <w:rFonts w:ascii="sans-serif" w:hAnsi="sans-serif"/>
          <w:b/>
          <w:color w:val="010000"/>
          <w:sz w:val="24"/>
          <w:u w:val="single"/>
        </w:rPr>
        <w:t>UNITED KINGDOM</w:t>
      </w:r>
    </w:p>
    <w:p>
      <w:pPr>
        <w:pStyle w:val="TextBody"/>
        <w:bidi w:val="0"/>
        <w:spacing w:lineRule="auto" w:line="333" w:before="0" w:after="240"/>
        <w:jc w:val="both"/>
        <w:rPr>
          <w:rFonts w:ascii="sans-serif" w:hAnsi="sans-serif"/>
          <w:b/>
          <w:i/>
          <w:color w:val="010000"/>
          <w:sz w:val="24"/>
        </w:rPr>
      </w:pPr>
      <w:r>
        <w:rPr>
          <w:rFonts w:ascii="sans-serif" w:hAnsi="sans-serif"/>
          <w:b/>
          <w:i/>
          <w:color w:val="010000"/>
          <w:sz w:val="24"/>
        </w:rPr>
        <w:t>Terms and Conditions</w:t>
      </w:r>
    </w:p>
    <w:p>
      <w:pPr>
        <w:pStyle w:val="TextBody"/>
        <w:bidi w:val="0"/>
        <w:spacing w:lineRule="auto" w:line="333" w:before="0" w:after="240"/>
        <w:jc w:val="both"/>
        <w:rPr/>
      </w:pPr>
      <w:r>
        <w:rPr>
          <w:rFonts w:ascii="sans-serif" w:hAnsi="sans-serif"/>
          <w:b w:val="false"/>
          <w:color w:val="000000"/>
          <w:sz w:val="24"/>
          <w:u w:val="single"/>
        </w:rPr>
        <w:t>Definitions</w:t>
      </w:r>
      <w:r>
        <w:rPr>
          <w:rFonts w:ascii="sans-serif" w:hAnsi="sans-serif"/>
          <w:b w:val="false"/>
          <w:color w:val="000000"/>
          <w:sz w:val="24"/>
        </w:rPr>
        <w:t>. The phrases “termination of service” or “termination of employment” as used in the Plan and the Agreement shall mean Participant’s Termination of Employment. For this purpose, “</w:t>
      </w:r>
      <w:r>
        <w:rPr>
          <w:rFonts w:ascii="sans-serif" w:hAnsi="sans-serif"/>
          <w:b/>
          <w:i/>
          <w:color w:val="000000"/>
          <w:sz w:val="24"/>
        </w:rPr>
        <w:t>Termination of Employment</w:t>
      </w:r>
      <w:r>
        <w:rPr>
          <w:color w:val="000000"/>
        </w:rPr>
        <w:t xml:space="preserve">” </w:t>
      </w:r>
      <w:r>
        <w:rPr>
          <w:rFonts w:ascii="sans-serif" w:hAnsi="sans-serif"/>
          <w:b w:val="false"/>
          <w:color w:val="000000"/>
          <w:sz w:val="24"/>
        </w:rPr>
        <w:t>means the time when the employee-employer relationship between Participant and the Company or any subsidiary is terminated for any reason, with or without cause, including, but not by way of limitation, a termination by resignation, discharge, death, disability or retirement; but excluding terminations where there is a simultaneous reemployment or continuing employment of Participant by the Company or any subsidiary. The Administrator, in its absolute discretion, shall determine the effect of all matters and questions relating to a Termination of Employment, including, but not by way of limitation, the question of whether a particular leave of absence constitutes a Termination of Employment.</w:t>
      </w:r>
    </w:p>
    <w:p>
      <w:pPr>
        <w:pStyle w:val="TextBody"/>
        <w:bidi w:val="0"/>
        <w:spacing w:lineRule="auto" w:line="333" w:before="0" w:after="240"/>
        <w:jc w:val="both"/>
        <w:rPr/>
      </w:pPr>
      <w:r>
        <w:rPr>
          <w:rFonts w:ascii="sans-serif" w:hAnsi="sans-serif"/>
          <w:b w:val="false"/>
          <w:color w:val="000000"/>
          <w:sz w:val="24"/>
          <w:u w:val="single"/>
        </w:rPr>
        <w:t>Participants</w:t>
      </w:r>
      <w:r>
        <w:rPr>
          <w:rFonts w:ascii="sans-serif" w:hAnsi="sans-serif"/>
          <w:b w:val="false"/>
          <w:color w:val="000000"/>
          <w:sz w:val="24"/>
        </w:rPr>
        <w:t>. The Agreement as amended by this Appendix forms the rules of the employee share scheme applicable to the United Kingdom-based Participants of the Company and any subsidiaries. Only employees of the Company or any Subsidiary are eligible to be granted RSUs or be issued Shares under the Agreement. Other Service Providers (including consultants or non-employee directors) who are not employees are not eligible to receive RSUs under the Agreement in the United Kingdom. The Agreement incorporates the terms of the Plan with the exception that reference to “Service Provider” when used in the Plan (as incorporated into this Agreement) and in the Agreement itself shall mean employee of the Company or any Subsidiary only and shall not include other persons providing services to the Company or any Subsidiary. Accordingly, all references in the Agreement to Participant’s “Service” or “Termination of Service” shall be interpreted as references to Participant’s employment or Termination of Employment.</w:t>
      </w:r>
    </w:p>
    <w:p>
      <w:pPr>
        <w:pStyle w:val="TextBody"/>
        <w:bidi w:val="0"/>
        <w:spacing w:lineRule="auto" w:line="333" w:before="0" w:after="240"/>
        <w:jc w:val="both"/>
        <w:rPr/>
      </w:pPr>
      <w:r>
        <w:rPr>
          <w:rFonts w:ascii="sans-serif" w:hAnsi="sans-serif"/>
          <w:b w:val="false"/>
          <w:color w:val="000000"/>
          <w:sz w:val="24"/>
          <w:u w:val="single"/>
        </w:rPr>
        <w:t>Not a Contract of Employment</w:t>
      </w:r>
      <w:r>
        <w:rPr>
          <w:rFonts w:ascii="sans-serif" w:hAnsi="sans-serif"/>
          <w:b w:val="false"/>
          <w:color w:val="000000"/>
          <w:sz w:val="24"/>
        </w:rPr>
        <w:t>. Nothing in the Agreement or in the Plan shall confer upon Participant any right to continue to serve as an employee of the Company or any of its subsidiaries and the grant of the RSUs does not form part of Participant’s entitlement to remuneration or benefits in terms of his employment with the Company or any subsidiary.</w:t>
      </w:r>
    </w:p>
    <w:p>
      <w:pPr>
        <w:pStyle w:val="TextBody"/>
        <w:bidi w:val="0"/>
        <w:spacing w:lineRule="auto" w:line="333" w:before="0" w:after="240"/>
        <w:jc w:val="both"/>
        <w:rPr/>
      </w:pPr>
      <w:r>
        <w:rPr>
          <w:rFonts w:ascii="sans-serif" w:hAnsi="sans-serif"/>
          <w:b w:val="false"/>
          <w:color w:val="010000"/>
          <w:sz w:val="24"/>
          <w:u w:val="single"/>
        </w:rPr>
        <w:t>Tax Obligations</w:t>
      </w:r>
      <w:r>
        <w:rPr>
          <w:rFonts w:ascii="sans-serif" w:hAnsi="sans-serif"/>
          <w:b w:val="false"/>
          <w:color w:val="010000"/>
          <w:sz w:val="24"/>
        </w:rPr>
        <w:t>. The following provision supplements Section 2.6 of the Agreement:</w:t>
      </w:r>
    </w:p>
    <w:p>
      <w:pPr>
        <w:pStyle w:val="TextBody"/>
        <w:bidi w:val="0"/>
        <w:spacing w:lineRule="auto" w:line="333" w:before="0" w:after="240"/>
        <w:jc w:val="both"/>
        <w:rPr/>
      </w:pPr>
      <w:r>
        <w:rPr>
          <w:rFonts w:ascii="sans-serif" w:hAnsi="sans-serif"/>
          <w:b w:val="false"/>
          <w:color w:val="000000"/>
          <w:sz w:val="24"/>
          <w:u w:val="single"/>
        </w:rPr>
        <w:t>Tax and National Insurance Contributions Acknowledgment</w:t>
      </w:r>
      <w:r>
        <w:rPr>
          <w:rFonts w:ascii="sans-serif" w:hAnsi="sans-serif"/>
          <w:b w:val="false"/>
          <w:color w:val="000000"/>
          <w:sz w:val="24"/>
        </w:rPr>
        <w:t>. Participant agrees that Participant is liable for the full amount of all U.S. and non-U.S. federal, state and/or local taxes (including, without limitation, income tax, withholding tax, social security contributions, fringe benefit tax, employment tax, stamp tax, including employee’s National Insurance contributions (“</w:t>
      </w:r>
      <w:r>
        <w:rPr>
          <w:rFonts w:ascii="sans-serif" w:hAnsi="sans-serif"/>
          <w:b/>
          <w:i/>
          <w:color w:val="000000"/>
          <w:sz w:val="24"/>
        </w:rPr>
        <w:t>NICs</w:t>
      </w:r>
      <w:r>
        <w:rPr>
          <w:color w:val="000000"/>
        </w:rPr>
        <w:t>”</w:t>
      </w:r>
      <w:r>
        <w:rPr>
          <w:rFonts w:ascii="sans-serif" w:hAnsi="sans-serif"/>
          <w:b w:val="false"/>
          <w:color w:val="000000"/>
          <w:sz w:val="24"/>
        </w:rPr>
        <w:t xml:space="preserve">) and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2560"/>
                <wp:effectExtent l="0" t="0" r="0" b="0"/>
                <wp:wrapNone/>
                <wp:docPr id="101" name="Frame9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Appendix-29</w:t>
                      </w:r>
                    </w:p>
                  </w:txbxContent>
                </v:textbox>
                <w10:wrap type="none"/>
              </v:rect>
            </w:pict>
          </mc:Fallback>
        </mc:AlternateContent>
      </w:r>
    </w:p>
    <w:p>
      <w:pPr>
        <w:pStyle w:val="TextBody"/>
        <w:bidi w:val="0"/>
        <w:spacing w:lineRule="auto" w:line="333" w:before="0" w:after="240"/>
        <w:jc w:val="both"/>
        <w:rPr/>
      </w:pPr>
      <w:r>
        <w:rPr>
          <w:rFonts w:ascii="sans-serif" w:hAnsi="sans-serif"/>
          <w:b w:val="false"/>
          <w:color w:val="000000"/>
          <w:sz w:val="24"/>
        </w:rPr>
        <w:t>(at the discretion of the Company) employer’s NICs (or other similar obligations wherever in the world arising)) applicable to the taxable income resulting from the grant of the RSUs, the settlement of the RSUs, or the issuance of Shares (the “</w:t>
      </w:r>
      <w:r>
        <w:rPr>
          <w:rFonts w:ascii="sans-serif" w:hAnsi="sans-serif"/>
          <w:b/>
          <w:i/>
          <w:color w:val="000000"/>
          <w:sz w:val="24"/>
        </w:rPr>
        <w:t>Tax-Related Items</w:t>
      </w:r>
      <w:r>
        <w:rPr>
          <w:color w:val="000000"/>
        </w:rPr>
        <w:t>”</w:t>
      </w:r>
      <w:r>
        <w:rPr>
          <w:rFonts w:ascii="sans-serif" w:hAnsi="sans-serif"/>
          <w:b w:val="false"/>
          <w:color w:val="000000"/>
          <w:sz w:val="24"/>
        </w:rPr>
        <w:t>) that is attributable to (1) the grant or settlement of, or any benefit derived by Participant from, the RSUs or the Shares which are the subject of the RSUs; (2) the transfer or issuance of Shares on the settlement of the RSUs; (3) any restrictions applicable to any Shares held by Participant ceasing to apply thereto; or (4) the disposal of any Shares (each a “</w:t>
      </w:r>
      <w:r>
        <w:rPr>
          <w:rFonts w:ascii="sans-serif" w:hAnsi="sans-serif"/>
          <w:b/>
          <w:i/>
          <w:color w:val="000000"/>
          <w:sz w:val="24"/>
        </w:rPr>
        <w:t>Taxable Event</w:t>
      </w:r>
      <w:r>
        <w:rPr>
          <w:color w:val="000000"/>
        </w:rPr>
        <w:t>”</w:t>
      </w:r>
      <w:r>
        <w:rPr>
          <w:rFonts w:ascii="sans-serif" w:hAnsi="sans-serif"/>
          <w:b w:val="false"/>
          <w:color w:val="000000"/>
          <w:sz w:val="24"/>
        </w:rPr>
        <w:t>) and hereby covenants to pay all such Tax-Related Items as and when requested by the Company or a Subsidiary or His Majesty’s Revenue and Customs (“</w:t>
      </w:r>
      <w:r>
        <w:rPr>
          <w:rFonts w:ascii="sans-serif" w:hAnsi="sans-serif"/>
          <w:b/>
          <w:i/>
          <w:color w:val="000000"/>
          <w:sz w:val="24"/>
        </w:rPr>
        <w:t>HMRC</w:t>
      </w:r>
      <w:r>
        <w:rPr>
          <w:color w:val="000000"/>
        </w:rPr>
        <w:t>”</w:t>
      </w:r>
      <w:r>
        <w:rPr>
          <w:rFonts w:ascii="sans-serif" w:hAnsi="sans-serif"/>
          <w:b w:val="false"/>
          <w:color w:val="000000"/>
          <w:sz w:val="24"/>
        </w:rPr>
        <w:t>) (or any other tax authority or relevant authority). Participant also agrees to indemnify and keep indemnified the Company, any subsidiary and his/her employing company (the “</w:t>
      </w:r>
      <w:r>
        <w:rPr>
          <w:rFonts w:ascii="sans-serif" w:hAnsi="sans-serif"/>
          <w:b/>
          <w:i/>
          <w:color w:val="000000"/>
          <w:sz w:val="24"/>
        </w:rPr>
        <w:t>Employer</w:t>
      </w:r>
      <w:r>
        <w:rPr>
          <w:color w:val="000000"/>
        </w:rPr>
        <w:t>”</w:t>
      </w:r>
      <w:r>
        <w:rPr>
          <w:rFonts w:ascii="sans-serif" w:hAnsi="sans-serif"/>
          <w:b w:val="false"/>
          <w:color w:val="000000"/>
          <w:sz w:val="24"/>
        </w:rPr>
        <w:t xml:space="preserve">) if different, against any Tax-Related Items that they are required to pay or withhold or have paid or will pay to HMRC (or any other tax authority or any other relevant authority) on Participant’s behalf that is attributable to a Taxable Event.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The RSUs cannot be settled until Participant has made such arrangements as the Company may require for the satisfaction of any Tax-Related Items that may arise in connection with the vesting and settlement of the RSUs and/or the acquisition of Shares by Participant. The Company shall not be required to issue, allot or transfer Shares until Participant has satisfied this obligation. </w:t>
      </w:r>
    </w:p>
    <w:p>
      <w:pPr>
        <w:pStyle w:val="TextBody"/>
        <w:bidi w:val="0"/>
        <w:spacing w:lineRule="auto" w:line="333" w:before="0" w:after="240"/>
        <w:jc w:val="both"/>
        <w:rPr/>
      </w:pPr>
      <w:r>
        <w:rPr>
          <w:rFonts w:ascii="sans-serif" w:hAnsi="sans-serif"/>
          <w:b w:val="false"/>
          <w:color w:val="000000"/>
          <w:sz w:val="24"/>
        </w:rPr>
        <w:t>Participant undertakes that, upon request by the Company, he or she will (on or within 14 days of acquiring the Shares) join with his or her Employer in electing, pursuant to Section 431(1) of the Income Tax (Earnings and Pensions) Act 2003 (“</w:t>
      </w:r>
      <w:r>
        <w:rPr>
          <w:rFonts w:ascii="sans-serif" w:hAnsi="sans-serif"/>
          <w:b/>
          <w:i/>
          <w:color w:val="000000"/>
          <w:sz w:val="24"/>
        </w:rPr>
        <w:t>ITEPA</w:t>
      </w:r>
      <w:r>
        <w:rPr>
          <w:color w:val="000000"/>
        </w:rPr>
        <w:t>”</w:t>
      </w:r>
      <w:r>
        <w:rPr>
          <w:rFonts w:ascii="sans-serif" w:hAnsi="sans-serif"/>
          <w:b w:val="false"/>
          <w:color w:val="000000"/>
          <w:sz w:val="24"/>
        </w:rPr>
        <w:t xml:space="preserve">) that, for relevant tax purposes, the market value of the Shares acquired on settlement of the RSUs on any occasion will be calculated as if the Shares were not restricted and Sections 425 to 430 (inclusive) of ITEPA are not to apply to such Shares.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Participant agrees that if Participant does not pay or Participant’s Employer or the Company or a subsidiary does not withhold from Participant the full amount of all Tax-Related Items that Participant owes due to any Taxable Event within 90 days after the end of the tax year in which the Taxable Event occurred or such other period in Section 22 2(1)(c) of ITEPA, then the amount that should have been withheld shall constitute a loan owed by Participant to the Employer, effective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withholding the funds from salary, bonus or any other funds due to Participant by the Employer, by withholding in Shares issued upon vesting and settlement of the RSUs or from the cash proceeds from the sale of Shares or by demanding cash or a cheque from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2560"/>
                <wp:effectExtent l="0" t="0" r="0" b="0"/>
                <wp:wrapNone/>
                <wp:docPr id="102" name="Frame10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Appendix-30</w:t>
                      </w:r>
                    </w:p>
                  </w:txbxContent>
                </v:textbox>
                <w10:wrap type="none"/>
              </v:rect>
            </w:pict>
          </mc:Fallback>
        </mc:AlternateConten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 xml:space="preserve">Participant also authorizes the Company to delay the issuance of any Shares to Participant unless and until the loan is repaid in full. </w:t>
      </w:r>
    </w:p>
    <w:p>
      <w:pPr>
        <w:pStyle w:val="TextBody"/>
        <w:bidi w:val="0"/>
        <w:spacing w:lineRule="auto" w:line="333" w:before="0" w:after="240"/>
        <w:jc w:val="both"/>
        <w:rPr>
          <w:rFonts w:ascii="sans-serif" w:hAnsi="sans-serif"/>
          <w:b w:val="false"/>
          <w:color w:val="000000"/>
          <w:sz w:val="24"/>
        </w:rPr>
      </w:pPr>
      <w:r>
        <w:rPr>
          <w:rFonts w:ascii="sans-serif" w:hAnsi="sans-serif"/>
          <w:b w:val="false"/>
          <w:color w:val="000000"/>
          <w:sz w:val="24"/>
        </w:rPr>
        <w:t>Notwithstanding the foregoing, if Participant is an officer or executive director (as within the meaning of Section 13(k) of the Exchange Act), the terms of the immediately foregoing provision will not apply in case the indemnification is viewed as a loan. In the event that Participant is an officer or executive director and Tax-Related Items are not collected from or paid by Participant within 90 days of the end of the tax year in which the Taxable Event occurred, the amount of any uncollected Tax-Related Items may constitute a benefit to Participant on which additional income tax and NICs may be payable. Participant understands that he or she will be responsible for reporting and paying any income tax due on this additional benefit directly to HMRC under the self-assessment regime and for reimbursing the Company and/or a subsidiary (as appropriate) for the value of NICs due on this additional benefit which the Company and/or a Subsidiary may collect by any of the means referred to in Section 10.5 of the Plan.</w:t>
      </w:r>
    </w:p>
    <w:p>
      <w:pPr>
        <w:pStyle w:val="TextBody"/>
        <w:bidi w:val="0"/>
        <w:spacing w:lineRule="auto" w:line="333" w:before="0" w:after="0"/>
        <w:jc w:val="both"/>
        <w:rPr/>
      </w:pPr>
      <w:r>
        <w:rPr>
          <w:rFonts w:ascii="sans-serif" w:hAnsi="sans-serif"/>
          <w:b w:val="false"/>
          <w:color w:val="010000"/>
          <w:sz w:val="24"/>
          <w:u w:val="single"/>
        </w:rPr>
        <w:t>Data Protection.</w:t>
      </w:r>
      <w:r>
        <w:rPr>
          <w:color w:val="000000"/>
        </w:rPr>
        <w:t xml:space="preserve"> </w:t>
      </w:r>
      <w:r>
        <w:rPr>
          <w:rFonts w:ascii="sans-serif" w:hAnsi="sans-serif"/>
          <w:b w:val="false"/>
          <w:color w:val="000000"/>
          <w:sz w:val="24"/>
        </w:rPr>
        <w:t>The Company and the Service Recipient will collect and process information relating to Participant in accordance with any applicable data privacy notice and applicable data protection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2560"/>
                <wp:effectExtent l="0" t="0" r="0" b="0"/>
                <wp:wrapNone/>
                <wp:docPr id="103" name="Frame10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Appendix-31</w:t>
                      </w:r>
                    </w:p>
                  </w:txbxContent>
                </v:textbox>
                <w10:wrap type="none"/>
              </v:rect>
            </w:pict>
          </mc:Fallback>
        </mc:AlternateContent>
      </w:r>
    </w:p>
    <w:p>
      <w:pPr>
        <w:pStyle w:val="TextBody"/>
        <w:bidi w:val="0"/>
        <w:spacing w:lineRule="auto" w:line="333" w:before="0" w:after="240"/>
        <w:jc w:val="center"/>
        <w:rPr>
          <w:rFonts w:ascii="sans-serif" w:hAnsi="sans-serif"/>
          <w:b/>
          <w:color w:val="000000"/>
          <w:sz w:val="24"/>
          <w:u w:val="single"/>
        </w:rPr>
      </w:pPr>
      <w:r>
        <w:rPr>
          <w:rFonts w:ascii="sans-serif" w:hAnsi="sans-serif"/>
          <w:b/>
          <w:color w:val="000000"/>
          <w:sz w:val="24"/>
          <w:u w:val="single"/>
        </w:rPr>
        <w:t>Exhibit 1 (for German Participants)</w:t>
      </w:r>
    </w:p>
    <w:p>
      <w:pPr>
        <w:pStyle w:val="TextBody"/>
        <w:bidi w:val="0"/>
        <w:spacing w:lineRule="auto" w:line="333" w:before="0" w:after="240"/>
        <w:jc w:val="center"/>
        <w:rPr>
          <w:rFonts w:ascii="sans-serif" w:hAnsi="sans-serif"/>
          <w:b/>
          <w:color w:val="000000"/>
          <w:sz w:val="24"/>
        </w:rPr>
      </w:pPr>
      <w:r>
        <w:rPr>
          <w:rFonts w:ascii="sans-serif" w:hAnsi="sans-serif"/>
          <w:b/>
          <w:color w:val="000000"/>
          <w:sz w:val="24"/>
        </w:rPr>
        <w:t>PRIVACY NOTICE</w:t>
      </w:r>
    </w:p>
    <w:p>
      <w:pPr>
        <w:pStyle w:val="TextBody"/>
        <w:bidi w:val="0"/>
        <w:spacing w:lineRule="atLeast" w:line="288" w:before="0" w:after="240"/>
        <w:ind w:left="0" w:right="0" w:firstLine="720"/>
        <w:jc w:val="both"/>
        <w:rPr/>
      </w:pPr>
      <w:r>
        <w:rPr>
          <w:rFonts w:ascii="sans-serif" w:hAnsi="sans-serif"/>
          <w:b w:val="false"/>
          <w:color w:val="000000"/>
          <w:sz w:val="24"/>
        </w:rPr>
        <w:t>The entity responsible for processing your personal data (</w:t>
      </w:r>
      <w:r>
        <w:rPr>
          <w:rFonts w:ascii="sans-serif" w:hAnsi="sans-serif"/>
          <w:b w:val="false"/>
          <w:i/>
          <w:color w:val="000000"/>
          <w:sz w:val="24"/>
        </w:rPr>
        <w:t>i.e.</w:t>
      </w:r>
      <w:r>
        <w:rPr>
          <w:rFonts w:ascii="sans-serif" w:hAnsi="sans-serif"/>
          <w:b w:val="false"/>
          <w:color w:val="000000"/>
          <w:sz w:val="24"/>
        </w:rPr>
        <w:t>, the “</w:t>
      </w:r>
      <w:r>
        <w:rPr>
          <w:rFonts w:ascii="sans-serif" w:hAnsi="sans-serif"/>
          <w:b/>
          <w:color w:val="000000"/>
          <w:sz w:val="24"/>
        </w:rPr>
        <w:t>Controller</w:t>
      </w:r>
      <w:r>
        <w:rPr>
          <w:color w:val="000000"/>
        </w:rPr>
        <w:t>”</w:t>
      </w:r>
      <w:r>
        <w:rPr>
          <w:rFonts w:ascii="sans-serif" w:hAnsi="sans-serif"/>
          <w:b w:val="false"/>
          <w:color w:val="000000"/>
          <w:sz w:val="24"/>
        </w:rPr>
        <w:t>) for the purpose of allocating and sharing Awards as described in the This Agreement, dated [  ] 2026 (the “</w:t>
      </w:r>
      <w:r>
        <w:rPr>
          <w:rFonts w:ascii="sans-serif" w:hAnsi="sans-serif"/>
          <w:b/>
          <w:color w:val="000000"/>
          <w:sz w:val="24"/>
        </w:rPr>
        <w:t>Grant Letter</w:t>
      </w:r>
      <w:r>
        <w:rPr>
          <w:color w:val="000000"/>
        </w:rPr>
        <w:t>”</w:t>
      </w:r>
      <w:r>
        <w:rPr>
          <w:rFonts w:ascii="sans-serif" w:hAnsi="sans-serif"/>
          <w:b w:val="false"/>
          <w:color w:val="000000"/>
          <w:sz w:val="24"/>
        </w:rPr>
        <w:t>) and the Plan is Neutron Holdings, Inc., having its registered office at 85 2</w:t>
      </w:r>
      <w:r>
        <w:rPr>
          <w:rFonts w:ascii="sans-serif" w:hAnsi="sans-serif"/>
          <w:b w:val="false"/>
          <w:color w:val="000000"/>
          <w:sz w:val="16"/>
        </w:rPr>
        <w:t>nd</w:t>
      </w:r>
      <w:r>
        <w:rPr>
          <w:color w:val="000000"/>
        </w:rPr>
        <w:t xml:space="preserve"> </w:t>
      </w:r>
      <w:r>
        <w:rPr>
          <w:rFonts w:ascii="sans-serif" w:hAnsi="sans-serif"/>
          <w:b w:val="false"/>
          <w:color w:val="000000"/>
          <w:sz w:val="24"/>
        </w:rPr>
        <w:t>Street, Suite 750, San Francisco, CA 94105, United States of America (the “</w:t>
      </w:r>
      <w:r>
        <w:rPr>
          <w:rFonts w:ascii="sans-serif" w:hAnsi="sans-serif"/>
          <w:b/>
          <w:color w:val="000000"/>
          <w:sz w:val="24"/>
        </w:rPr>
        <w:t>Company</w:t>
      </w:r>
      <w:r>
        <w:rPr>
          <w:color w:val="000000"/>
        </w:rPr>
        <w:t>”</w:t>
      </w:r>
      <w:r>
        <w:rPr>
          <w:rFonts w:ascii="sans-serif" w:hAnsi="sans-serif"/>
          <w:b w:val="false"/>
          <w:color w:val="000000"/>
          <w:sz w:val="24"/>
        </w:rPr>
        <w:t>). The present privacy notice (the “</w:t>
      </w:r>
      <w:r>
        <w:rPr>
          <w:rFonts w:ascii="sans-serif" w:hAnsi="sans-serif"/>
          <w:b/>
          <w:color w:val="000000"/>
          <w:sz w:val="24"/>
        </w:rPr>
        <w:t>Notice</w:t>
      </w:r>
      <w:r>
        <w:rPr>
          <w:color w:val="000000"/>
        </w:rPr>
        <w:t>”</w:t>
      </w:r>
      <w:r>
        <w:rPr>
          <w:rFonts w:ascii="sans-serif" w:hAnsi="sans-serif"/>
          <w:b w:val="false"/>
          <w:color w:val="000000"/>
          <w:sz w:val="24"/>
        </w:rPr>
        <w:t xml:space="preserve">) provides for information in relation to the processing of your personal data in this context. </w:t>
      </w:r>
    </w:p>
    <w:p>
      <w:pPr>
        <w:pStyle w:val="TextBody"/>
        <w:bidi w:val="0"/>
        <w:spacing w:lineRule="auto" w:line="333" w:before="0" w:after="0"/>
        <w:ind w:left="0" w:right="0" w:hanging="540"/>
        <w:jc w:val="both"/>
        <w:rPr>
          <w:rFonts w:ascii="sans-serif" w:hAnsi="sans-serif"/>
          <w:b/>
          <w:color w:val="000000"/>
          <w:sz w:val="24"/>
        </w:rPr>
      </w:pPr>
      <w:r>
        <w:rPr>
          <w:rFonts w:ascii="sans-serif" w:hAnsi="sans-serif"/>
          <w:b/>
          <w:color w:val="000000"/>
          <w:sz w:val="24"/>
        </w:rPr>
        <w:t>1.WHAT PERSONAL DATA DOES THE COMPANY PROCESS ABOUT YOU?</w:t>
      </w:r>
    </w:p>
    <w:p>
      <w:pPr>
        <w:pStyle w:val="TextBody"/>
        <w:bidi w:val="0"/>
        <w:spacing w:lineRule="auto" w:line="333" w:before="0" w:after="0"/>
        <w:ind w:left="0" w:right="0" w:hanging="540"/>
        <w:jc w:val="both"/>
        <w:rPr/>
      </w:pPr>
      <w:r>
        <w:rPr>
          <w:rFonts w:ascii="Aptos;sans-serif" w:hAnsi="Aptos;sans-serif"/>
          <w:b w:val="false"/>
          <w:color w:val="000000"/>
          <w:sz w:val="22"/>
        </w:rPr>
        <w:t>a.</w:t>
      </w:r>
      <w:r>
        <w:rPr>
          <w:rFonts w:ascii="sans-serif" w:hAnsi="sans-serif"/>
          <w:b w:val="false"/>
          <w:color w:val="000000"/>
          <w:sz w:val="24"/>
        </w:rPr>
        <w:t>Some of the personal data is collected directly from you. Other personal data is provided to the Company by other group companies.</w:t>
      </w:r>
    </w:p>
    <w:p>
      <w:pPr>
        <w:pStyle w:val="TextBody"/>
        <w:bidi w:val="0"/>
        <w:spacing w:lineRule="auto" w:line="333" w:before="0" w:after="0"/>
        <w:ind w:left="0" w:right="0" w:hanging="540"/>
        <w:jc w:val="both"/>
        <w:rPr/>
      </w:pPr>
      <w:r>
        <w:rPr>
          <w:rFonts w:ascii="Aptos;sans-serif" w:hAnsi="Aptos;sans-serif"/>
          <w:b w:val="false"/>
          <w:color w:val="000000"/>
          <w:sz w:val="22"/>
        </w:rPr>
        <w:t>b.</w:t>
      </w:r>
      <w:r>
        <w:rPr>
          <w:rFonts w:ascii="sans-serif" w:hAnsi="sans-serif"/>
          <w:b w:val="false"/>
          <w:color w:val="000000"/>
          <w:sz w:val="24"/>
        </w:rPr>
        <w:t xml:space="preserve">The personal data the Company collects about you may include (i) identification data such as your name, address and telephone number, birthdate, social security/insurance number or other identification number, salary, nationality, (ii) job title, department, as well as related information, </w:t>
      </w:r>
      <w:r>
        <w:rPr>
          <w:rFonts w:ascii="sans-serif" w:hAnsi="sans-serif"/>
          <w:b w:val="false"/>
          <w:i/>
          <w:color w:val="000000"/>
          <w:sz w:val="24"/>
        </w:rPr>
        <w:t>e.g.</w:t>
      </w:r>
      <w:r>
        <w:rPr>
          <w:rFonts w:ascii="sans-serif" w:hAnsi="sans-serif"/>
          <w:b w:val="false"/>
          <w:color w:val="000000"/>
          <w:sz w:val="24"/>
        </w:rPr>
        <w:t>, employee ID number, (iii) your bank account details, and (iv) details regarding your Awards and other information relating to the Plan and this Agreement.</w:t>
      </w:r>
    </w:p>
    <w:p>
      <w:pPr>
        <w:pStyle w:val="TextBody"/>
        <w:bidi w:val="0"/>
        <w:spacing w:lineRule="auto" w:line="333" w:before="0" w:after="240"/>
        <w:ind w:left="0" w:right="0" w:hanging="540"/>
        <w:jc w:val="both"/>
        <w:rPr/>
      </w:pPr>
      <w:r>
        <w:rPr>
          <w:rFonts w:ascii="Aptos;sans-serif" w:hAnsi="Aptos;sans-serif"/>
          <w:b w:val="false"/>
          <w:color w:val="000000"/>
          <w:sz w:val="22"/>
        </w:rPr>
        <w:t>c.</w:t>
      </w:r>
      <w:r>
        <w:rPr>
          <w:rFonts w:ascii="sans-serif" w:hAnsi="sans-serif"/>
          <w:b w:val="false"/>
          <w:color w:val="000000"/>
          <w:sz w:val="24"/>
        </w:rPr>
        <w:t xml:space="preserve">The Company requires your personal data for business and accounting purposes. Refusal to provide personal data requested could lead to the impossibility for the Company to proceed with any matters relating to the Plan and the This Agreement, including the allocation, award and any payments relating to your awards. </w:t>
      </w:r>
    </w:p>
    <w:p>
      <w:pPr>
        <w:pStyle w:val="TextBody"/>
        <w:bidi w:val="0"/>
        <w:spacing w:lineRule="auto" w:line="333" w:before="0" w:after="0"/>
        <w:ind w:left="0" w:right="0" w:hanging="540"/>
        <w:jc w:val="both"/>
        <w:rPr>
          <w:rFonts w:ascii="sans-serif" w:hAnsi="sans-serif"/>
          <w:b/>
          <w:color w:val="000000"/>
          <w:sz w:val="24"/>
        </w:rPr>
      </w:pPr>
      <w:r>
        <w:rPr>
          <w:rFonts w:ascii="sans-serif" w:hAnsi="sans-serif"/>
          <w:b/>
          <w:color w:val="000000"/>
          <w:sz w:val="24"/>
        </w:rPr>
        <w:t>2.HOW DOES THE COMPANY PROCESS YOUR PERSONAL DATA?</w:t>
      </w:r>
    </w:p>
    <w:p>
      <w:pPr>
        <w:pStyle w:val="TextBody"/>
        <w:bidi w:val="0"/>
        <w:spacing w:lineRule="auto" w:line="333" w:before="0" w:after="0"/>
        <w:ind w:left="0" w:right="0" w:hanging="540"/>
        <w:jc w:val="both"/>
        <w:rPr/>
      </w:pPr>
      <w:r>
        <w:rPr>
          <w:rFonts w:ascii="Aptos;sans-serif" w:hAnsi="Aptos;sans-serif"/>
          <w:b w:val="false"/>
          <w:color w:val="000000"/>
          <w:sz w:val="22"/>
        </w:rPr>
        <w:t>a.</w:t>
      </w:r>
      <w:r>
        <w:rPr>
          <w:rFonts w:ascii="sans-serif" w:hAnsi="sans-serif"/>
          <w:b w:val="false"/>
          <w:color w:val="000000"/>
          <w:sz w:val="24"/>
        </w:rPr>
        <w:t>The Company processes your personal data only for legitimate purposes, including (i) to implement, administer and manage the Plan and the This Agreement and in order to proceed with the allocation, award and any payments relating to your awards, and (ii) to comply with accounting requirements.</w:t>
      </w:r>
    </w:p>
    <w:p>
      <w:pPr>
        <w:pStyle w:val="TextBody"/>
        <w:bidi w:val="0"/>
        <w:spacing w:lineRule="auto" w:line="333" w:before="0" w:after="0"/>
        <w:ind w:left="0" w:right="0" w:hanging="540"/>
        <w:jc w:val="both"/>
        <w:rPr/>
      </w:pPr>
      <w:r>
        <w:rPr>
          <w:rFonts w:ascii="Aptos;sans-serif" w:hAnsi="Aptos;sans-serif"/>
          <w:b w:val="false"/>
          <w:color w:val="000000"/>
          <w:sz w:val="22"/>
        </w:rPr>
        <w:t>b.</w:t>
      </w:r>
      <w:r>
        <w:rPr>
          <w:rFonts w:ascii="sans-serif" w:hAnsi="sans-serif"/>
          <w:b w:val="false"/>
          <w:color w:val="000000"/>
          <w:sz w:val="24"/>
        </w:rPr>
        <w:t xml:space="preserve">The Company does not keep your personal data for longer than is necessary to fulfil the purposes above – unless statutory retention obligations and/or legitimate interests may require a longer storage. This may include the defense and assertion of legal claims. </w:t>
      </w:r>
    </w:p>
    <w:p>
      <w:pPr>
        <w:pStyle w:val="TextBody"/>
        <w:bidi w:val="0"/>
        <w:spacing w:lineRule="auto" w:line="333" w:before="0" w:after="240"/>
        <w:ind w:left="0" w:right="0" w:hanging="540"/>
        <w:jc w:val="both"/>
        <w:rPr/>
      </w:pPr>
      <w:r>
        <w:rPr>
          <w:rFonts w:ascii="Aptos;sans-serif" w:hAnsi="Aptos;sans-serif"/>
          <w:b w:val="false"/>
          <w:color w:val="000000"/>
          <w:sz w:val="22"/>
        </w:rPr>
        <w:t>c.</w:t>
      </w:r>
      <w:r>
        <w:rPr>
          <w:rFonts w:ascii="sans-serif" w:hAnsi="sans-serif"/>
          <w:b w:val="false"/>
          <w:color w:val="000000"/>
          <w:sz w:val="24"/>
        </w:rPr>
        <w:t>No automated decision making or profiling is conducted in the context of the Plan and the This Agreement.</w:t>
      </w:r>
    </w:p>
    <w:p>
      <w:pPr>
        <w:pStyle w:val="TextBody"/>
        <w:bidi w:val="0"/>
        <w:spacing w:lineRule="auto" w:line="333" w:before="0" w:after="0"/>
        <w:ind w:left="0" w:right="0" w:hanging="540"/>
        <w:jc w:val="both"/>
        <w:rPr>
          <w:rFonts w:ascii="sans-serif" w:hAnsi="sans-serif"/>
          <w:b/>
          <w:color w:val="000000"/>
          <w:sz w:val="24"/>
        </w:rPr>
      </w:pPr>
      <w:r>
        <w:rPr>
          <w:rFonts w:ascii="sans-serif" w:hAnsi="sans-serif"/>
          <w:b/>
          <w:color w:val="000000"/>
          <w:sz w:val="24"/>
        </w:rPr>
        <w:t>3.DOES THE COMPANY DISCLOSE YOUR PERSONAL DATA TO OTHER PARTIES?</w:t>
      </w:r>
    </w:p>
    <w:p>
      <w:pPr>
        <w:pStyle w:val="TextBody"/>
        <w:bidi w:val="0"/>
        <w:spacing w:lineRule="auto" w:line="333"/>
        <w:ind w:left="0" w:right="0" w:hanging="540"/>
        <w:jc w:val="both"/>
        <w:rPr/>
      </w:pPr>
      <w:r>
        <w:rPr>
          <w:rFonts w:ascii="Aptos;sans-serif" w:hAnsi="Aptos;sans-serif"/>
          <w:b w:val="false"/>
          <w:color w:val="000000"/>
          <w:sz w:val="22"/>
        </w:rPr>
        <w:t>a.</w:t>
      </w:r>
      <w:r>
        <w:rPr>
          <w:rFonts w:ascii="sans-serif" w:hAnsi="sans-serif"/>
          <w:b w:val="false"/>
          <w:color w:val="000000"/>
          <w:sz w:val="24"/>
        </w:rPr>
        <w:t xml:space="preserve">The Company may disclose your personal data, where reasonably necessary and in accordance with applicable law for the purposes set out in clause 2 above, including to (i) other entities within the group, (ii) accountants, auditors, legal advisors, (iii) services providers such as payroll administrators and benefits advisors, and (iv) third parties to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2560"/>
                <wp:effectExtent l="0" t="0" r="0" b="0"/>
                <wp:wrapNone/>
                <wp:docPr id="104" name="Frame10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lineRule="auto" w:line="333" w:before="0" w:after="0"/>
        <w:jc w:val="both"/>
        <w:rPr>
          <w:rFonts w:ascii="sans-serif" w:hAnsi="sans-serif"/>
          <w:b w:val="false"/>
          <w:color w:val="000000"/>
          <w:sz w:val="24"/>
        </w:rPr>
      </w:pPr>
      <w:r>
        <w:rPr>
          <w:rFonts w:ascii="sans-serif" w:hAnsi="sans-serif"/>
          <w:b w:val="false"/>
          <w:color w:val="000000"/>
          <w:sz w:val="24"/>
        </w:rPr>
        <w:t>whom the Company is required to disclose information by law or regulatory requirement (including authorities and litigation counterparties).</w:t>
      </w:r>
    </w:p>
    <w:p>
      <w:pPr>
        <w:pStyle w:val="TextBody"/>
        <w:bidi w:val="0"/>
        <w:spacing w:lineRule="auto" w:line="333" w:before="0" w:after="240"/>
        <w:ind w:left="0" w:right="0" w:hanging="540"/>
        <w:jc w:val="both"/>
        <w:rPr/>
      </w:pPr>
      <w:r>
        <w:rPr>
          <w:rFonts w:ascii="Aptos;sans-serif" w:hAnsi="Aptos;sans-serif"/>
          <w:b w:val="false"/>
          <w:color w:val="000000"/>
          <w:sz w:val="22"/>
        </w:rPr>
        <w:t>b.</w:t>
      </w:r>
      <w:r>
        <w:rPr>
          <w:rFonts w:ascii="sans-serif" w:hAnsi="sans-serif"/>
          <w:b w:val="false"/>
          <w:color w:val="000000"/>
          <w:sz w:val="24"/>
        </w:rPr>
        <w:t>If your personal data should be transferred to countries outside the European Union / the European Economic Area, the Company will apply appropriate safeguards to secure such transfers.</w:t>
      </w:r>
    </w:p>
    <w:p>
      <w:pPr>
        <w:pStyle w:val="TextBody"/>
        <w:bidi w:val="0"/>
        <w:spacing w:lineRule="auto" w:line="333" w:before="0" w:after="0"/>
        <w:ind w:left="0" w:right="0" w:hanging="540"/>
        <w:jc w:val="left"/>
        <w:rPr>
          <w:rFonts w:ascii="sans-serif" w:hAnsi="sans-serif"/>
          <w:b/>
          <w:color w:val="000000"/>
          <w:sz w:val="24"/>
        </w:rPr>
      </w:pPr>
      <w:r>
        <w:rPr>
          <w:rFonts w:ascii="sans-serif" w:hAnsi="sans-serif"/>
          <w:b/>
          <w:color w:val="000000"/>
          <w:sz w:val="24"/>
        </w:rPr>
        <w:t>4.WHAT RIGHTS DO YOU HAVE?</w:t>
      </w:r>
    </w:p>
    <w:p>
      <w:pPr>
        <w:pStyle w:val="TextBody"/>
        <w:bidi w:val="0"/>
        <w:spacing w:lineRule="auto" w:line="333" w:before="0" w:after="0"/>
        <w:ind w:left="0" w:right="0" w:hanging="540"/>
        <w:jc w:val="both"/>
        <w:rPr/>
      </w:pPr>
      <w:r>
        <w:rPr>
          <w:rFonts w:ascii="Aptos;sans-serif" w:hAnsi="Aptos;sans-serif"/>
          <w:b w:val="false"/>
          <w:color w:val="000000"/>
          <w:sz w:val="22"/>
        </w:rPr>
        <w:t>a.</w:t>
      </w:r>
      <w:r>
        <w:rPr>
          <w:rFonts w:ascii="sans-serif" w:hAnsi="sans-serif"/>
          <w:b w:val="false"/>
          <w:color w:val="000000"/>
          <w:sz w:val="24"/>
        </w:rPr>
        <w:t>You have certain rights in relation to your personal data. Please note that these may vary depending on the right and circumstances of its assertion.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access your personal data and ask for a copy of your processed personal data;</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have incomplete or inaccurate personal data corrected;</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object to the use of your personal data, or to withdraw your consent (where processing is based on your prior consent);</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restrict the use of your personal data;</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require the Company to erase/delete your personal data;</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receive personal data which you have provided to the Company in a structured, commonly used and machine-readable format and the right to transmit those data to another data controller;</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4"/>
        </w:rPr>
        <w:t>the right to lodge a complaint with the competent data protection authority.</w:t>
      </w:r>
    </w:p>
    <w:p>
      <w:pPr>
        <w:pStyle w:val="TextBody"/>
        <w:bidi w:val="0"/>
        <w:spacing w:lineRule="atLeast" w:line="288"/>
        <w:ind w:left="0" w:right="0" w:hanging="540"/>
        <w:jc w:val="both"/>
        <w:rPr/>
      </w:pPr>
      <w:r>
        <w:rPr>
          <w:rFonts w:ascii="Aptos;sans-serif" w:hAnsi="Aptos;sans-serif"/>
          <w:b w:val="false"/>
          <w:color w:val="000000"/>
          <w:sz w:val="22"/>
        </w:rPr>
        <w:t>b.</w:t>
      </w:r>
      <w:r>
        <w:rPr>
          <w:rFonts w:ascii="sans-serif" w:hAnsi="sans-serif"/>
          <w:b w:val="false"/>
          <w:color w:val="000000"/>
          <w:sz w:val="24"/>
        </w:rPr>
        <w:t>If you wish to exercise any of these rights or have other questions about how the Company processes your personal data, you can access https://privacy.li.me/.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ind w:left="0" w:right="0" w:hanging="2"/>
        <w:jc w:val="right"/>
        <w:rPr>
          <w:rFonts w:ascii="Times New Roman;serif" w:hAnsi="Times New Roman;serif"/>
          <w:b/>
          <w:color w:val="000000"/>
          <w:sz w:val="20"/>
        </w:rPr>
      </w:pPr>
      <w:r>
        <w:rPr>
          <w:rFonts w:ascii="Times New Roman;serif" w:hAnsi="Times New Roman;serif"/>
          <w:b/>
          <w:color w:val="000000"/>
          <w:sz w:val="20"/>
        </w:rPr>
        <w:t>Exhibit 99.3</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2560"/>
                <wp:effectExtent l="0" t="0" r="0" b="0"/>
                <wp:wrapNone/>
                <wp:docPr id="105" name="Frame10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NEUTRON HOLDINGS, INC.</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2026 EMPLOYEE STOCK PURCHASE PLAN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1</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PURPOSE</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 xml:space="preserve">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 </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but shall not be intended to qualify as an “employee stock purchase plan” under Section 423 of the Code. Except as otherwise provided herein or determined by the Administrator,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2</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DEFINITIONS</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As used in the Plan, the following words and phrases have the meanings specified below, unless the context clearly indicates otherwise:</w:t>
      </w:r>
    </w:p>
    <w:p>
      <w:pPr>
        <w:pStyle w:val="TextBody"/>
        <w:bidi w:val="0"/>
        <w:spacing w:lineRule="auto" w:line="288" w:before="0" w:after="240"/>
        <w:ind w:left="0" w:right="0" w:firstLine="720"/>
        <w:jc w:val="both"/>
        <w:rPr/>
      </w:pPr>
      <w:r>
        <w:rPr>
          <w:rFonts w:ascii="sans-serif" w:hAnsi="sans-serif"/>
          <w:b w:val="false"/>
          <w:color w:val="000000"/>
          <w:sz w:val="22"/>
        </w:rPr>
        <w:t>2.1    “</w:t>
      </w:r>
      <w:r>
        <w:rPr>
          <w:rFonts w:ascii="sans-serif" w:hAnsi="sans-serif"/>
          <w:b/>
          <w:i/>
          <w:color w:val="000000"/>
          <w:sz w:val="22"/>
        </w:rPr>
        <w:t>Administrator</w:t>
      </w:r>
      <w:r>
        <w:rPr>
          <w:color w:val="000000"/>
        </w:rPr>
        <w:t xml:space="preserve">” </w:t>
      </w:r>
      <w:r>
        <w:rPr>
          <w:rFonts w:ascii="sans-serif" w:hAnsi="sans-serif"/>
          <w:b w:val="false"/>
          <w:color w:val="000000"/>
          <w:sz w:val="22"/>
        </w:rPr>
        <w:t>means the Committee, or such individuals to which authority to administer the Plan has been delegated under Section 7.1 hereof.</w:t>
      </w:r>
    </w:p>
    <w:p>
      <w:pPr>
        <w:pStyle w:val="TextBody"/>
        <w:bidi w:val="0"/>
        <w:spacing w:lineRule="auto" w:line="288" w:before="0" w:after="240"/>
        <w:jc w:val="both"/>
        <w:rPr/>
      </w:pPr>
      <w:r>
        <w:rPr>
          <w:rFonts w:ascii="sans-serif" w:hAnsi="sans-serif"/>
          <w:b w:val="false"/>
          <w:color w:val="000000"/>
          <w:sz w:val="22"/>
        </w:rPr>
        <w:t>2.2    “</w:t>
      </w:r>
      <w:r>
        <w:rPr>
          <w:rFonts w:ascii="sans-serif" w:hAnsi="sans-serif"/>
          <w:b/>
          <w:i/>
          <w:color w:val="000000"/>
          <w:sz w:val="22"/>
        </w:rPr>
        <w:t>Agent</w:t>
      </w:r>
      <w:r>
        <w:rPr>
          <w:color w:val="000000"/>
        </w:rPr>
        <w:t xml:space="preserve">” </w:t>
      </w:r>
      <w:r>
        <w:rPr>
          <w:rFonts w:ascii="sans-serif" w:hAnsi="sans-serif"/>
          <w:b w:val="false"/>
          <w:color w:val="000000"/>
          <w:sz w:val="22"/>
        </w:rPr>
        <w:t>means the brokerage firm, bank or other financial institution, entity or person(s), if any, engaged, retained, appointed or authorized to act as the agent of the Company or an Employee with regard to the Plan.</w:t>
      </w:r>
    </w:p>
    <w:p>
      <w:pPr>
        <w:pStyle w:val="TextBody"/>
        <w:bidi w:val="0"/>
        <w:spacing w:lineRule="auto" w:line="288" w:before="0" w:after="240"/>
        <w:jc w:val="both"/>
        <w:rPr/>
      </w:pPr>
      <w:r>
        <w:rPr>
          <w:rFonts w:ascii="sans-serif" w:hAnsi="sans-serif"/>
          <w:b w:val="false"/>
          <w:color w:val="000000"/>
          <w:sz w:val="22"/>
        </w:rPr>
        <w:t>2.3    “</w:t>
      </w:r>
      <w:r>
        <w:rPr>
          <w:rFonts w:ascii="sans-serif" w:hAnsi="sans-serif"/>
          <w:b/>
          <w:i/>
          <w:color w:val="000000"/>
          <w:sz w:val="22"/>
        </w:rPr>
        <w:t>Board</w:t>
      </w:r>
      <w:r>
        <w:rPr>
          <w:color w:val="000000"/>
        </w:rPr>
        <w:t xml:space="preserve">” </w:t>
      </w:r>
      <w:r>
        <w:rPr>
          <w:rFonts w:ascii="sans-serif" w:hAnsi="sans-serif"/>
          <w:b w:val="false"/>
          <w:color w:val="000000"/>
          <w:sz w:val="22"/>
        </w:rPr>
        <w:t>means the Board of Directors of the Company.</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0" w:after="240"/>
        <w:jc w:val="both"/>
        <w:rPr/>
      </w:pPr>
      <w:r>
        <w:rPr>
          <w:rFonts w:ascii="sans-serif" w:hAnsi="sans-serif"/>
          <w:b w:val="false"/>
          <w:color w:val="000000"/>
          <w:sz w:val="22"/>
        </w:rPr>
        <w:t>2.4    “</w:t>
      </w:r>
      <w:r>
        <w:rPr>
          <w:rFonts w:ascii="sans-serif" w:hAnsi="sans-serif"/>
          <w:b/>
          <w:i/>
          <w:color w:val="000000"/>
          <w:sz w:val="22"/>
        </w:rPr>
        <w:t>Code</w:t>
      </w:r>
      <w:r>
        <w:rPr>
          <w:color w:val="000000"/>
        </w:rPr>
        <w:t xml:space="preserve">” </w:t>
      </w:r>
      <w:r>
        <w:rPr>
          <w:rFonts w:ascii="sans-serif" w:hAnsi="sans-serif"/>
          <w:b w:val="false"/>
          <w:color w:val="000000"/>
          <w:sz w:val="22"/>
        </w:rPr>
        <w:t>means the U.S. Internal Revenue Code of 1986, as amended, and all regulations, guidance, compliance programs and other interpretative authority issued thereunder.</w:t>
      </w:r>
    </w:p>
    <w:p>
      <w:pPr>
        <w:pStyle w:val="TextBody"/>
        <w:bidi w:val="0"/>
        <w:spacing w:lineRule="auto" w:line="288" w:before="0" w:after="240"/>
        <w:jc w:val="both"/>
        <w:rPr/>
      </w:pPr>
      <w:r>
        <w:rPr>
          <w:rFonts w:ascii="sans-serif" w:hAnsi="sans-serif"/>
          <w:b w:val="false"/>
          <w:color w:val="000000"/>
          <w:sz w:val="22"/>
        </w:rPr>
        <w:t>2.5    “</w:t>
      </w:r>
      <w:r>
        <w:rPr>
          <w:rFonts w:ascii="sans-serif" w:hAnsi="sans-serif"/>
          <w:b/>
          <w:i/>
          <w:color w:val="000000"/>
          <w:sz w:val="22"/>
        </w:rPr>
        <w:t>Committee</w:t>
      </w:r>
      <w:r>
        <w:rPr>
          <w:color w:val="000000"/>
        </w:rPr>
        <w:t xml:space="preserve">” </w:t>
      </w:r>
      <w:r>
        <w:rPr>
          <w:rFonts w:ascii="sans-serif" w:hAnsi="sans-serif"/>
          <w:b w:val="false"/>
          <w:color w:val="000000"/>
          <w:sz w:val="22"/>
        </w:rPr>
        <w:t>means the Compensation Committee of the Board.</w:t>
      </w:r>
    </w:p>
    <w:p>
      <w:pPr>
        <w:pStyle w:val="TextBody"/>
        <w:bidi w:val="0"/>
        <w:spacing w:lineRule="auto" w:line="288" w:before="0" w:after="240"/>
        <w:jc w:val="both"/>
        <w:rPr/>
      </w:pPr>
      <w:r>
        <w:rPr>
          <w:rFonts w:ascii="sans-serif" w:hAnsi="sans-serif"/>
          <w:b w:val="false"/>
          <w:color w:val="000000"/>
          <w:sz w:val="22"/>
        </w:rPr>
        <w:t>2.6    “</w:t>
      </w:r>
      <w:r>
        <w:rPr>
          <w:rFonts w:ascii="sans-serif" w:hAnsi="sans-serif"/>
          <w:b/>
          <w:i/>
          <w:color w:val="000000"/>
          <w:sz w:val="22"/>
        </w:rPr>
        <w:t>Common Stock</w:t>
      </w:r>
      <w:r>
        <w:rPr>
          <w:color w:val="000000"/>
        </w:rPr>
        <w:t xml:space="preserve">” </w:t>
      </w:r>
      <w:r>
        <w:rPr>
          <w:rFonts w:ascii="sans-serif" w:hAnsi="sans-serif"/>
          <w:b w:val="false"/>
          <w:color w:val="000000"/>
          <w:sz w:val="22"/>
        </w:rPr>
        <w:t>means the common stock of the Company.</w:t>
      </w:r>
    </w:p>
    <w:p>
      <w:pPr>
        <w:pStyle w:val="TextBody"/>
        <w:bidi w:val="0"/>
        <w:spacing w:lineRule="auto" w:line="288" w:before="0" w:after="240"/>
        <w:jc w:val="both"/>
        <w:rPr/>
      </w:pPr>
      <w:r>
        <w:rPr>
          <w:rFonts w:ascii="sans-serif" w:hAnsi="sans-serif"/>
          <w:b w:val="false"/>
          <w:color w:val="000000"/>
          <w:sz w:val="22"/>
        </w:rPr>
        <w:t>2.7    “</w:t>
      </w:r>
      <w:r>
        <w:rPr>
          <w:rFonts w:ascii="sans-serif" w:hAnsi="sans-serif"/>
          <w:b/>
          <w:i/>
          <w:color w:val="000000"/>
          <w:sz w:val="22"/>
        </w:rPr>
        <w:t>Company</w:t>
      </w:r>
      <w:r>
        <w:rPr>
          <w:color w:val="000000"/>
        </w:rPr>
        <w:t xml:space="preserve">” </w:t>
      </w:r>
      <w:r>
        <w:rPr>
          <w:rFonts w:ascii="sans-serif" w:hAnsi="sans-serif"/>
          <w:b w:val="false"/>
          <w:color w:val="000000"/>
          <w:sz w:val="22"/>
        </w:rPr>
        <w:t>means Neutron Holdings, Inc., a Delaware corporation, or any successor.</w:t>
      </w:r>
    </w:p>
    <w:p>
      <w:pPr>
        <w:pStyle w:val="TextBody"/>
        <w:bidi w:val="0"/>
        <w:spacing w:lineRule="auto" w:line="288" w:before="0" w:after="240"/>
        <w:jc w:val="both"/>
        <w:rPr/>
      </w:pPr>
      <w:r>
        <w:rPr>
          <w:rFonts w:ascii="sans-serif" w:hAnsi="sans-serif"/>
          <w:b w:val="false"/>
          <w:color w:val="000000"/>
          <w:sz w:val="22"/>
        </w:rPr>
        <w:t>2.8    “</w:t>
      </w:r>
      <w:r>
        <w:rPr>
          <w:rFonts w:ascii="sans-serif" w:hAnsi="sans-serif"/>
          <w:b/>
          <w:i/>
          <w:color w:val="000000"/>
          <w:sz w:val="22"/>
        </w:rPr>
        <w:t>Compensation</w:t>
      </w:r>
      <w:r>
        <w:rPr>
          <w:color w:val="000000"/>
        </w:rPr>
        <w:t xml:space="preserve">” </w:t>
      </w:r>
      <w:r>
        <w:rPr>
          <w:rFonts w:ascii="sans-serif" w:hAnsi="sans-serif"/>
          <w:b w:val="false"/>
          <w:color w:val="000000"/>
          <w:sz w:val="22"/>
        </w:rPr>
        <w:t xml:space="preserve">of an Employee means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and commissions, meal and rest break premiums under California state law or similar amounts paid in accordance with applicable law of any other jurisdiction,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For any Participants in non-U.S. jurisdictions, the Administrator shall have the discretion to determine the application of this definition. Compensation shall be calculated before deduction of any income or employment tax withholdings, but such amounts shall be withheld from the Employee’s net income. </w:t>
      </w:r>
    </w:p>
    <w:p>
      <w:pPr>
        <w:pStyle w:val="TextBody"/>
        <w:bidi w:val="0"/>
        <w:spacing w:lineRule="auto" w:line="288" w:before="0" w:after="240"/>
        <w:jc w:val="both"/>
        <w:rPr/>
      </w:pPr>
      <w:r>
        <w:rPr>
          <w:rFonts w:ascii="sans-serif" w:hAnsi="sans-serif"/>
          <w:b w:val="false"/>
          <w:color w:val="000000"/>
          <w:sz w:val="22"/>
        </w:rPr>
        <w:t>2.9    “</w:t>
      </w:r>
      <w:r>
        <w:rPr>
          <w:rFonts w:ascii="sans-serif" w:hAnsi="sans-serif"/>
          <w:b/>
          <w:i/>
          <w:color w:val="000000"/>
          <w:sz w:val="22"/>
        </w:rPr>
        <w:t>Designated Beneficiary</w:t>
      </w:r>
      <w:r>
        <w:rPr>
          <w:color w:val="000000"/>
        </w:rPr>
        <w:t xml:space="preserve">” </w:t>
      </w:r>
      <w:r>
        <w:rPr>
          <w:rFonts w:ascii="sans-serif" w:hAnsi="sans-serif"/>
          <w:b w:val="false"/>
          <w:color w:val="000000"/>
          <w:sz w:val="22"/>
        </w:rPr>
        <w:t xml:space="preserve">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 </w:t>
      </w:r>
    </w:p>
    <w:p>
      <w:pPr>
        <w:pStyle w:val="TextBody"/>
        <w:bidi w:val="0"/>
        <w:spacing w:lineRule="auto" w:line="288" w:before="0" w:after="240"/>
        <w:jc w:val="both"/>
        <w:rPr/>
      </w:pPr>
      <w:r>
        <w:rPr>
          <w:rFonts w:ascii="sans-serif" w:hAnsi="sans-serif"/>
          <w:b w:val="false"/>
          <w:color w:val="000000"/>
          <w:sz w:val="22"/>
        </w:rPr>
        <w:t>2.10    “</w:t>
      </w:r>
      <w:r>
        <w:rPr>
          <w:rFonts w:ascii="sans-serif" w:hAnsi="sans-serif"/>
          <w:b/>
          <w:i/>
          <w:color w:val="000000"/>
          <w:sz w:val="22"/>
        </w:rPr>
        <w:t>Designated Subsidiary</w:t>
      </w:r>
      <w:r>
        <w:rPr>
          <w:color w:val="000000"/>
        </w:rPr>
        <w:t xml:space="preserve">” </w:t>
      </w:r>
      <w:r>
        <w:rPr>
          <w:rFonts w:ascii="sans-serif" w:hAnsi="sans-serif"/>
          <w:b w:val="false"/>
          <w:color w:val="000000"/>
          <w:sz w:val="22"/>
        </w:rPr>
        <w:t xml:space="preserve">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sans-serif" w:hAnsi="sans-serif"/>
          <w:b w:val="false"/>
          <w:i/>
          <w:color w:val="000000"/>
          <w:sz w:val="22"/>
        </w:rPr>
        <w:t>provided</w:t>
      </w:r>
      <w:r>
        <w:rPr>
          <w:color w:val="000000"/>
        </w:rPr>
        <w:t xml:space="preserve"> </w:t>
      </w:r>
      <w:r>
        <w:rPr>
          <w:rFonts w:ascii="sans-serif" w:hAnsi="sans-serif"/>
          <w:b w:val="false"/>
          <w:color w:val="000000"/>
          <w:sz w:val="22"/>
        </w:rPr>
        <w:t>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stockholder approval. Only Subsidiary Corporations may be designated as Designated Subsidiaries for purposes of the Section 423 Component, and if an entity does not so qualify, it shall automatically be deemed to constitute a Designated Subsidiary that participates in the Non-Section 423 Component.</w:t>
      </w:r>
    </w:p>
    <w:p>
      <w:pPr>
        <w:pStyle w:val="TextBody"/>
        <w:bidi w:val="0"/>
        <w:spacing w:lineRule="auto" w:line="288" w:before="0" w:after="240"/>
        <w:jc w:val="both"/>
        <w:rPr/>
      </w:pPr>
      <w:r>
        <w:rPr>
          <w:rFonts w:ascii="sans-serif" w:hAnsi="sans-serif"/>
          <w:b w:val="false"/>
          <w:color w:val="000000"/>
          <w:sz w:val="22"/>
        </w:rPr>
        <w:t>2.11    “</w:t>
      </w:r>
      <w:r>
        <w:rPr>
          <w:rFonts w:ascii="sans-serif" w:hAnsi="sans-serif"/>
          <w:b/>
          <w:i/>
          <w:color w:val="000000"/>
          <w:sz w:val="22"/>
        </w:rPr>
        <w:t>Effective Date</w:t>
      </w:r>
      <w:r>
        <w:rPr>
          <w:color w:val="000000"/>
        </w:rPr>
        <w:t xml:space="preserve">” </w:t>
      </w:r>
      <w:r>
        <w:rPr>
          <w:rFonts w:ascii="sans-serif" w:hAnsi="sans-serif"/>
          <w:b w:val="false"/>
          <w:color w:val="000000"/>
          <w:sz w:val="22"/>
        </w:rPr>
        <w:t xml:space="preserve">means the date immediately prior to the date the Company’s registration statement relating to its initial public offering becomes effective, </w:t>
      </w:r>
      <w:r>
        <w:rPr>
          <w:rFonts w:ascii="sans-serif" w:hAnsi="sans-serif"/>
          <w:b w:val="false"/>
          <w:i/>
          <w:color w:val="000000"/>
          <w:sz w:val="22"/>
        </w:rPr>
        <w:t>provided</w:t>
      </w:r>
      <w:r>
        <w:rPr>
          <w:color w:val="000000"/>
        </w:rPr>
        <w:t xml:space="preserve"> </w:t>
      </w:r>
      <w:r>
        <w:rPr>
          <w:rFonts w:ascii="sans-serif" w:hAnsi="sans-serif"/>
          <w:b w:val="false"/>
          <w:color w:val="000000"/>
          <w:sz w:val="22"/>
        </w:rPr>
        <w:t>that the Board has approved the Plan prior to or on such date, subject to approval of the Plan by the Company’s stockholders.</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2560"/>
                <wp:effectExtent l="0" t="0" r="0" b="0"/>
                <wp:wrapNone/>
                <wp:docPr id="107" name="Frame10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240"/>
        <w:jc w:val="both"/>
        <w:rPr/>
      </w:pPr>
      <w:r>
        <w:rPr>
          <w:rFonts w:ascii="sans-serif" w:hAnsi="sans-serif"/>
          <w:b w:val="false"/>
          <w:color w:val="000000"/>
          <w:sz w:val="22"/>
        </w:rPr>
        <w:t>2.12    “</w:t>
      </w:r>
      <w:r>
        <w:rPr>
          <w:rFonts w:ascii="sans-serif" w:hAnsi="sans-serif"/>
          <w:b/>
          <w:i/>
          <w:color w:val="000000"/>
          <w:sz w:val="22"/>
        </w:rPr>
        <w:t>Eligible Employee</w:t>
      </w:r>
      <w:r>
        <w:rPr>
          <w:color w:val="000000"/>
        </w:rPr>
        <w:t xml:space="preserve">” </w:t>
      </w:r>
      <w:r>
        <w:rPr>
          <w:rFonts w:ascii="sans-serif" w:hAnsi="sans-serif"/>
          <w:b w:val="false"/>
          <w:color w:val="000000"/>
          <w:sz w:val="22"/>
        </w:rPr>
        <w:t>means, except as otherwise provided by the Administrator or in an Offering Document, an Employee:</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(a)    who is customarily scheduled to work at least 20 hours per week;</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(b)    whose customary employment is more than five months in a calendar year; and</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(c)    who, after the granting of the Option, would not be deemed for purposes of Section 423(b)(3) of the Code to possess 5% or more of the total combined voting power or value of all classes of stock of the Company or any Subsidiary. </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 xml:space="preserve">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 </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Notwithstanding the foregoing, the Administrator may exclude from participation in the Section 423 Component as an Eligible Employee:</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 xml:space="preserve">(x)    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 </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 xml:space="preserve">(y)    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 </w:t>
      </w:r>
    </w:p>
    <w:p>
      <w:pPr>
        <w:pStyle w:val="TextBody"/>
        <w:bidi w:val="0"/>
        <w:spacing w:lineRule="auto" w:line="288" w:before="0" w:after="240"/>
        <w:ind w:left="0" w:right="0" w:hanging="2"/>
        <w:jc w:val="both"/>
        <w:rPr/>
      </w:pPr>
      <w:r>
        <w:rPr>
          <w:rFonts w:ascii="sans-serif" w:hAnsi="sans-serif"/>
          <w:b w:val="false"/>
          <w:i/>
          <w:color w:val="000000"/>
          <w:sz w:val="22"/>
        </w:rPr>
        <w:t>provided</w:t>
      </w:r>
      <w:r>
        <w:rPr>
          <w:color w:val="000000"/>
        </w:rPr>
        <w:t xml:space="preserve"> </w:t>
      </w:r>
      <w:r>
        <w:rPr>
          <w:rFonts w:ascii="sans-serif" w:hAnsi="sans-serif"/>
          <w:b w:val="false"/>
          <w:color w:val="000000"/>
          <w:sz w:val="22"/>
        </w:rPr>
        <w:t>that any exclusion in clauses (x) or (y) shall be applied in an identical manner under each Offering to all Employees of the Company and all Designated Subsidiaries, in 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pStyle w:val="TextBody"/>
        <w:bidi w:val="0"/>
        <w:spacing w:lineRule="auto" w:line="288" w:before="0" w:after="240"/>
        <w:ind w:left="0" w:right="0" w:firstLine="720"/>
        <w:jc w:val="both"/>
        <w:rPr/>
      </w:pPr>
      <w:r>
        <w:rPr>
          <w:rFonts w:ascii="sans-serif" w:hAnsi="sans-serif"/>
          <w:b w:val="false"/>
          <w:color w:val="000000"/>
          <w:sz w:val="22"/>
        </w:rPr>
        <w:t>2.13    “</w:t>
      </w:r>
      <w:r>
        <w:rPr>
          <w:rFonts w:ascii="sans-serif" w:hAnsi="sans-serif"/>
          <w:b/>
          <w:i/>
          <w:color w:val="000000"/>
          <w:sz w:val="22"/>
        </w:rPr>
        <w:t>Employee</w:t>
      </w:r>
      <w:r>
        <w:rPr>
          <w:color w:val="000000"/>
        </w:rPr>
        <w:t xml:space="preserve">” </w:t>
      </w:r>
      <w:r>
        <w:rPr>
          <w:rFonts w:ascii="sans-serif" w:hAnsi="sans-serif"/>
          <w:b w:val="false"/>
          <w:color w:val="000000"/>
          <w:sz w:val="22"/>
        </w:rPr>
        <w:t xml:space="preserve">means an individual who renders services to the Company or a Designated Subsidiary in the status of an employee, and, with respect to the Section 423 Component, a person who is an officer or other employee (as defined in accordance with Section 3401(c) of the Code) of the Company or any Designated Subsidiary.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a Designated Subsidiary (which, for purposes of the Section 423 Component, must meet the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2560"/>
                <wp:effectExtent l="0" t="0" r="0" b="0"/>
                <wp:wrapNone/>
                <wp:docPr id="108" name="Frame10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requirements of Treas. Reg. § 1.421-7(h)(2)). For purposes of the Section 423 Component, where the period of an approved leave of absence exceeds three months, or such other period specified in Treas. Reg. § 1.421-1(h)(2), and the individual’s right to reemployment is not provided either by statute or contract, the employment relationship shall be deemed to have terminated for purposes of the Plan on the first day immediately following such three-month period, or such other period specified in Treas. Reg. § 1.421-1(h)(2).</w:t>
      </w:r>
    </w:p>
    <w:p>
      <w:pPr>
        <w:pStyle w:val="TextBody"/>
        <w:bidi w:val="0"/>
        <w:spacing w:lineRule="auto" w:line="288" w:before="0" w:after="240"/>
        <w:ind w:left="0" w:right="0" w:firstLine="720"/>
        <w:jc w:val="both"/>
        <w:rPr/>
      </w:pPr>
      <w:r>
        <w:rPr>
          <w:rFonts w:ascii="sans-serif" w:hAnsi="sans-serif"/>
          <w:b w:val="false"/>
          <w:color w:val="000000"/>
          <w:sz w:val="22"/>
        </w:rPr>
        <w:t>2.14    “</w:t>
      </w:r>
      <w:r>
        <w:rPr>
          <w:rFonts w:ascii="sans-serif" w:hAnsi="sans-serif"/>
          <w:b/>
          <w:i/>
          <w:color w:val="000000"/>
          <w:sz w:val="22"/>
        </w:rPr>
        <w:t>Enrollment Date</w:t>
      </w:r>
      <w:r>
        <w:rPr>
          <w:color w:val="000000"/>
        </w:rPr>
        <w:t xml:space="preserve">” </w:t>
      </w:r>
      <w:r>
        <w:rPr>
          <w:rFonts w:ascii="sans-serif" w:hAnsi="sans-serif"/>
          <w:b w:val="false"/>
          <w:color w:val="000000"/>
          <w:sz w:val="22"/>
        </w:rPr>
        <w:t>means the first date of each Offering Period.</w:t>
      </w:r>
    </w:p>
    <w:p>
      <w:pPr>
        <w:pStyle w:val="TextBody"/>
        <w:bidi w:val="0"/>
        <w:spacing w:lineRule="auto" w:line="288" w:before="0" w:after="240"/>
        <w:ind w:left="0" w:right="0" w:firstLine="720"/>
        <w:jc w:val="both"/>
        <w:rPr/>
      </w:pPr>
      <w:r>
        <w:rPr>
          <w:rFonts w:ascii="sans-serif" w:hAnsi="sans-serif"/>
          <w:b w:val="false"/>
          <w:color w:val="000000"/>
          <w:sz w:val="22"/>
        </w:rPr>
        <w:t>2.15    “</w:t>
      </w:r>
      <w:r>
        <w:rPr>
          <w:rFonts w:ascii="sans-serif" w:hAnsi="sans-serif"/>
          <w:b/>
          <w:i/>
          <w:color w:val="000000"/>
          <w:sz w:val="22"/>
        </w:rPr>
        <w:t>Exchange Act</w:t>
      </w:r>
      <w:r>
        <w:rPr>
          <w:color w:val="000000"/>
        </w:rPr>
        <w:t xml:space="preserve">” </w:t>
      </w:r>
      <w:r>
        <w:rPr>
          <w:rFonts w:ascii="sans-serif" w:hAnsi="sans-serif"/>
          <w:b w:val="false"/>
          <w:color w:val="000000"/>
          <w:sz w:val="22"/>
        </w:rPr>
        <w:t>means the Securities Exchange Act of 1934, as amended.</w:t>
      </w:r>
    </w:p>
    <w:p>
      <w:pPr>
        <w:pStyle w:val="TextBody"/>
        <w:bidi w:val="0"/>
        <w:spacing w:lineRule="auto" w:line="288" w:before="0" w:after="240"/>
        <w:ind w:left="0" w:right="0" w:firstLine="720"/>
        <w:jc w:val="both"/>
        <w:rPr/>
      </w:pPr>
      <w:r>
        <w:rPr>
          <w:rFonts w:ascii="sans-serif" w:hAnsi="sans-serif"/>
          <w:b w:val="false"/>
          <w:color w:val="000000"/>
          <w:sz w:val="22"/>
        </w:rPr>
        <w:t>2.16    “</w:t>
      </w:r>
      <w:r>
        <w:rPr>
          <w:rFonts w:ascii="sans-serif" w:hAnsi="sans-serif"/>
          <w:b/>
          <w:i/>
          <w:color w:val="000000"/>
          <w:sz w:val="22"/>
        </w:rPr>
        <w:t>Exercise Date</w:t>
      </w:r>
      <w:r>
        <w:rPr>
          <w:color w:val="000000"/>
        </w:rPr>
        <w:t xml:space="preserve">” </w:t>
      </w:r>
      <w:r>
        <w:rPr>
          <w:rFonts w:ascii="sans-serif" w:hAnsi="sans-serif"/>
          <w:b w:val="false"/>
          <w:color w:val="000000"/>
          <w:sz w:val="22"/>
        </w:rPr>
        <w:t>means the last Trading Day of each Purchase Period, except as provided in Section 5.2 hereof.</w:t>
      </w:r>
    </w:p>
    <w:p>
      <w:pPr>
        <w:pStyle w:val="TextBody"/>
        <w:bidi w:val="0"/>
        <w:spacing w:lineRule="auto" w:line="288" w:before="0" w:after="240"/>
        <w:ind w:left="0" w:right="0" w:firstLine="720"/>
        <w:jc w:val="both"/>
        <w:rPr/>
      </w:pPr>
      <w:r>
        <w:rPr>
          <w:rFonts w:ascii="sans-serif" w:hAnsi="sans-serif"/>
          <w:b w:val="false"/>
          <w:color w:val="000000"/>
          <w:sz w:val="22"/>
        </w:rPr>
        <w:t>2.17    “</w:t>
      </w:r>
      <w:r>
        <w:rPr>
          <w:rFonts w:ascii="sans-serif" w:hAnsi="sans-serif"/>
          <w:b/>
          <w:i/>
          <w:color w:val="000000"/>
          <w:sz w:val="22"/>
        </w:rPr>
        <w:t>Fair Market Value</w:t>
      </w:r>
      <w:r>
        <w:rPr>
          <w:color w:val="000000"/>
        </w:rPr>
        <w:t xml:space="preserve">” </w:t>
      </w:r>
      <w:r>
        <w:rPr>
          <w:rFonts w:ascii="sans-serif" w:hAnsi="sans-serif"/>
          <w:b w:val="false"/>
          <w:color w:val="000000"/>
          <w:sz w:val="22"/>
        </w:rPr>
        <w:t>means, as of any date, the value of Common Stock determined as follows:</w:t>
      </w:r>
    </w:p>
    <w:p>
      <w:pPr>
        <w:pStyle w:val="TextBody"/>
        <w:bidi w:val="0"/>
        <w:spacing w:lineRule="auto" w:line="288" w:before="0" w:after="240"/>
        <w:ind w:left="0" w:right="0" w:firstLine="720"/>
        <w:jc w:val="both"/>
        <w:rPr/>
      </w:pPr>
      <w:r>
        <w:rPr>
          <w:rFonts w:ascii="sans-serif" w:hAnsi="sans-serif"/>
          <w:b w:val="false"/>
          <w:color w:val="000000"/>
          <w:sz w:val="22"/>
        </w:rPr>
        <w:t xml:space="preserve">(a)    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sans-serif" w:hAnsi="sans-serif"/>
          <w:b w:val="false"/>
          <w:i/>
          <w:color w:val="000000"/>
          <w:sz w:val="22"/>
        </w:rPr>
        <w:t>The Wall Street Journal</w:t>
      </w:r>
      <w:r>
        <w:rPr>
          <w:color w:val="000000"/>
        </w:rPr>
        <w:t xml:space="preserve"> </w:t>
      </w:r>
      <w:r>
        <w:rPr>
          <w:rFonts w:ascii="sans-serif" w:hAnsi="sans-serif"/>
          <w:b w:val="false"/>
          <w:color w:val="000000"/>
          <w:sz w:val="22"/>
        </w:rPr>
        <w:t>or such other source as the Administrator deems reliable;</w:t>
      </w:r>
    </w:p>
    <w:p>
      <w:pPr>
        <w:pStyle w:val="TextBody"/>
        <w:bidi w:val="0"/>
        <w:spacing w:lineRule="auto" w:line="288" w:before="0" w:after="240"/>
        <w:ind w:left="0" w:right="0" w:firstLine="720"/>
        <w:jc w:val="both"/>
        <w:rPr/>
      </w:pPr>
      <w:r>
        <w:rPr>
          <w:rFonts w:ascii="sans-serif" w:hAnsi="sans-serif"/>
          <w:b w:val="false"/>
          <w:color w:val="000000"/>
          <w:sz w:val="22"/>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sans-serif" w:hAnsi="sans-serif"/>
          <w:b w:val="false"/>
          <w:i/>
          <w:color w:val="000000"/>
          <w:sz w:val="22"/>
        </w:rPr>
        <w:t>The Wall Street Journal</w:t>
      </w:r>
      <w:r>
        <w:rPr>
          <w:color w:val="000000"/>
        </w:rPr>
        <w:t xml:space="preserve"> </w:t>
      </w:r>
      <w:r>
        <w:rPr>
          <w:rFonts w:ascii="sans-serif" w:hAnsi="sans-serif"/>
          <w:b w:val="false"/>
          <w:color w:val="000000"/>
          <w:sz w:val="22"/>
        </w:rPr>
        <w:t>or such other source as the Administrator deems reliable; or</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(c)    If the Common Stock is neither listed on an established securities exchange, national market system or automated quotation system nor regularly quoted by a recognized securities dealer, its Fair Market Value shall be established by the Administrator in good faith (and, with respect to the initial Offering Period of the Plan, as set forth in the Offering Document for the initial Offering Period).</w:t>
      </w:r>
    </w:p>
    <w:p>
      <w:pPr>
        <w:pStyle w:val="TextBody"/>
        <w:bidi w:val="0"/>
        <w:spacing w:lineRule="auto" w:line="288" w:before="0" w:after="240"/>
        <w:ind w:left="0" w:right="0" w:firstLine="720"/>
        <w:jc w:val="both"/>
        <w:rPr/>
      </w:pPr>
      <w:r>
        <w:rPr>
          <w:rFonts w:ascii="sans-serif" w:hAnsi="sans-serif"/>
          <w:b w:val="false"/>
          <w:color w:val="000000"/>
          <w:sz w:val="22"/>
        </w:rPr>
        <w:t>2.18    “</w:t>
      </w:r>
      <w:r>
        <w:rPr>
          <w:rFonts w:ascii="sans-serif" w:hAnsi="sans-serif"/>
          <w:b/>
          <w:i/>
          <w:color w:val="000000"/>
          <w:sz w:val="22"/>
        </w:rPr>
        <w:t>Grant Date</w:t>
      </w:r>
      <w:r>
        <w:rPr>
          <w:color w:val="000000"/>
        </w:rPr>
        <w:t xml:space="preserve">” </w:t>
      </w:r>
      <w:r>
        <w:rPr>
          <w:rFonts w:ascii="sans-serif" w:hAnsi="sans-serif"/>
          <w:b w:val="false"/>
          <w:color w:val="000000"/>
          <w:sz w:val="22"/>
        </w:rPr>
        <w:t>means the first Trading Day of an Offering Period (or, with respect to the initial Offering Period of the Plan, such date set forth in the Offering Document approved by the Administrator with respect to the initial Offering Period).</w:t>
      </w:r>
    </w:p>
    <w:p>
      <w:pPr>
        <w:pStyle w:val="TextBody"/>
        <w:bidi w:val="0"/>
        <w:spacing w:lineRule="auto" w:line="288" w:before="0" w:after="240"/>
        <w:ind w:left="0" w:right="0" w:firstLine="720"/>
        <w:jc w:val="both"/>
        <w:rPr/>
      </w:pPr>
      <w:r>
        <w:rPr>
          <w:rFonts w:ascii="sans-serif" w:hAnsi="sans-serif"/>
          <w:b w:val="false"/>
          <w:color w:val="000000"/>
          <w:sz w:val="22"/>
        </w:rPr>
        <w:t>2.19    “</w:t>
      </w:r>
      <w:r>
        <w:rPr>
          <w:rFonts w:ascii="sans-serif" w:hAnsi="sans-serif"/>
          <w:b/>
          <w:i/>
          <w:color w:val="000000"/>
          <w:sz w:val="22"/>
        </w:rPr>
        <w:t>New Exercise Date</w:t>
      </w:r>
      <w:r>
        <w:rPr>
          <w:color w:val="000000"/>
        </w:rPr>
        <w:t xml:space="preserve">” </w:t>
      </w:r>
      <w:r>
        <w:rPr>
          <w:rFonts w:ascii="sans-serif" w:hAnsi="sans-serif"/>
          <w:b w:val="false"/>
          <w:color w:val="000000"/>
          <w:sz w:val="22"/>
        </w:rPr>
        <w:t xml:space="preserve">has the meaning set forth in Section 5.2(b) hereof. </w:t>
      </w:r>
    </w:p>
    <w:p>
      <w:pPr>
        <w:pStyle w:val="TextBody"/>
        <w:bidi w:val="0"/>
        <w:spacing w:lineRule="auto" w:line="288" w:before="0" w:after="240"/>
        <w:ind w:left="0" w:right="0" w:firstLine="720"/>
        <w:jc w:val="both"/>
        <w:rPr/>
      </w:pPr>
      <w:r>
        <w:rPr>
          <w:rFonts w:ascii="sans-serif" w:hAnsi="sans-serif"/>
          <w:b w:val="false"/>
          <w:color w:val="000000"/>
          <w:sz w:val="22"/>
        </w:rPr>
        <w:t>2.20    “</w:t>
      </w:r>
      <w:r>
        <w:rPr>
          <w:rFonts w:ascii="sans-serif" w:hAnsi="sans-serif"/>
          <w:b/>
          <w:i/>
          <w:color w:val="000000"/>
          <w:sz w:val="22"/>
        </w:rPr>
        <w:t>Non-Section 423 Component</w:t>
      </w:r>
      <w:r>
        <w:rPr>
          <w:color w:val="000000"/>
        </w:rPr>
        <w:t xml:space="preserve">” </w:t>
      </w:r>
      <w:r>
        <w:rPr>
          <w:rFonts w:ascii="sans-serif" w:hAnsi="sans-serif"/>
          <w:b w:val="false"/>
          <w:color w:val="000000"/>
          <w:sz w:val="22"/>
        </w:rPr>
        <w:t>means those Offerings under the Plan, together with the sub-plans, appendices, rules or procedures, if any, adopted by the Administrator as a part of this Plan, in each case, pursuant to which Options may be granted to Eligible Employees that need not satisfy the requirements for Options granted pursuant to an “employee stock purchase plan” that are set forth under Section 423 of the Code.</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2560"/>
                <wp:effectExtent l="0" t="0" r="0" b="0"/>
                <wp:wrapNone/>
                <wp:docPr id="109" name="Frame10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2.21    “</w:t>
      </w:r>
      <w:r>
        <w:rPr>
          <w:rFonts w:ascii="sans-serif" w:hAnsi="sans-serif"/>
          <w:b/>
          <w:i/>
          <w:color w:val="000000"/>
          <w:sz w:val="22"/>
        </w:rPr>
        <w:t>Offering</w:t>
      </w:r>
      <w:r>
        <w:rPr>
          <w:color w:val="000000"/>
        </w:rPr>
        <w:t xml:space="preserve">” </w:t>
      </w:r>
      <w:r>
        <w:rPr>
          <w:rFonts w:ascii="sans-serif" w:hAnsi="sans-serif"/>
          <w:b w:val="false"/>
          <w:color w:val="000000"/>
          <w:sz w:val="22"/>
        </w:rPr>
        <w:t xml:space="preserve">means an offer under the Plan of an Option that may be exercised during an Offering Period as further described in Article 4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 </w:t>
      </w:r>
    </w:p>
    <w:p>
      <w:pPr>
        <w:pStyle w:val="TextBody"/>
        <w:bidi w:val="0"/>
        <w:spacing w:lineRule="auto" w:line="288" w:before="0" w:after="240"/>
        <w:ind w:left="0" w:right="0" w:firstLine="720"/>
        <w:jc w:val="both"/>
        <w:rPr/>
      </w:pPr>
      <w:r>
        <w:rPr>
          <w:rFonts w:ascii="sans-serif" w:hAnsi="sans-serif"/>
          <w:b w:val="false"/>
          <w:color w:val="000000"/>
          <w:sz w:val="22"/>
        </w:rPr>
        <w:t>2.22    “</w:t>
      </w:r>
      <w:r>
        <w:rPr>
          <w:rFonts w:ascii="sans-serif" w:hAnsi="sans-serif"/>
          <w:b/>
          <w:i/>
          <w:color w:val="000000"/>
          <w:sz w:val="22"/>
        </w:rPr>
        <w:t>Offering Period</w:t>
      </w:r>
      <w:r>
        <w:rPr>
          <w:color w:val="000000"/>
        </w:rPr>
        <w:t xml:space="preserve">” </w:t>
      </w:r>
      <w:r>
        <w:rPr>
          <w:rFonts w:ascii="sans-serif" w:hAnsi="sans-serif"/>
          <w:b w:val="false"/>
          <w:color w:val="000000"/>
          <w:sz w:val="22"/>
        </w:rPr>
        <w:t xml:space="preserve">means such period of time commencing on such date(s) as determined by the Board or Committee, in its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 </w:t>
      </w:r>
    </w:p>
    <w:p>
      <w:pPr>
        <w:pStyle w:val="TextBody"/>
        <w:bidi w:val="0"/>
        <w:spacing w:lineRule="auto" w:line="288" w:before="0" w:after="240"/>
        <w:ind w:left="0" w:right="0" w:firstLine="720"/>
        <w:jc w:val="both"/>
        <w:rPr/>
      </w:pPr>
      <w:r>
        <w:rPr>
          <w:rFonts w:ascii="sans-serif" w:hAnsi="sans-serif"/>
          <w:b w:val="false"/>
          <w:color w:val="000000"/>
          <w:sz w:val="22"/>
        </w:rPr>
        <w:t>2.23    “</w:t>
      </w:r>
      <w:r>
        <w:rPr>
          <w:rFonts w:ascii="sans-serif" w:hAnsi="sans-serif"/>
          <w:b/>
          <w:i/>
          <w:color w:val="000000"/>
          <w:sz w:val="22"/>
        </w:rPr>
        <w:t>Option</w:t>
      </w:r>
      <w:r>
        <w:rPr>
          <w:color w:val="000000"/>
        </w:rPr>
        <w:t xml:space="preserve">” </w:t>
      </w:r>
      <w:r>
        <w:rPr>
          <w:rFonts w:ascii="sans-serif" w:hAnsi="sans-serif"/>
          <w:b w:val="false"/>
          <w:color w:val="000000"/>
          <w:sz w:val="22"/>
        </w:rPr>
        <w:t xml:space="preserve">means the right to purchase shares of Common Stock pursuant to the Plan during each Offering Period. </w:t>
      </w:r>
    </w:p>
    <w:p>
      <w:pPr>
        <w:pStyle w:val="TextBody"/>
        <w:bidi w:val="0"/>
        <w:spacing w:lineRule="auto" w:line="288" w:before="0" w:after="240"/>
        <w:ind w:left="0" w:right="0" w:firstLine="720"/>
        <w:jc w:val="both"/>
        <w:rPr/>
      </w:pPr>
      <w:r>
        <w:rPr>
          <w:rFonts w:ascii="sans-serif" w:hAnsi="sans-serif"/>
          <w:b w:val="false"/>
          <w:color w:val="000000"/>
          <w:sz w:val="22"/>
        </w:rPr>
        <w:t>2.24    “</w:t>
      </w:r>
      <w:r>
        <w:rPr>
          <w:rFonts w:ascii="sans-serif" w:hAnsi="sans-serif"/>
          <w:b/>
          <w:i/>
          <w:color w:val="000000"/>
          <w:sz w:val="22"/>
        </w:rPr>
        <w:t>Option Price</w:t>
      </w:r>
      <w:r>
        <w:rPr>
          <w:color w:val="000000"/>
        </w:rPr>
        <w:t xml:space="preserve">” </w:t>
      </w:r>
      <w:r>
        <w:rPr>
          <w:rFonts w:ascii="sans-serif" w:hAnsi="sans-serif"/>
          <w:b w:val="false"/>
          <w:color w:val="000000"/>
          <w:sz w:val="22"/>
        </w:rPr>
        <w:t>means the purchase price of a share of Common Stock hereunder as provided in Section 4.2 hereof.</w:t>
      </w:r>
    </w:p>
    <w:p>
      <w:pPr>
        <w:pStyle w:val="TextBody"/>
        <w:bidi w:val="0"/>
        <w:spacing w:lineRule="auto" w:line="288" w:before="0" w:after="240"/>
        <w:ind w:left="0" w:right="0" w:firstLine="720"/>
        <w:jc w:val="both"/>
        <w:rPr/>
      </w:pPr>
      <w:r>
        <w:rPr>
          <w:rFonts w:ascii="sans-serif" w:hAnsi="sans-serif"/>
          <w:b w:val="false"/>
          <w:color w:val="000000"/>
          <w:sz w:val="22"/>
        </w:rPr>
        <w:t>2.25    “</w:t>
      </w:r>
      <w:r>
        <w:rPr>
          <w:rFonts w:ascii="sans-serif" w:hAnsi="sans-serif"/>
          <w:b/>
          <w:i/>
          <w:color w:val="000000"/>
          <w:sz w:val="22"/>
        </w:rPr>
        <w:t>Parent</w:t>
      </w:r>
      <w:r>
        <w:rPr>
          <w:color w:val="000000"/>
        </w:rPr>
        <w:t xml:space="preserve">” </w:t>
      </w:r>
      <w:r>
        <w:rPr>
          <w:rFonts w:ascii="sans-serif" w:hAnsi="sans-serif"/>
          <w:b w:val="false"/>
          <w:color w:val="000000"/>
          <w:sz w:val="22"/>
        </w:rPr>
        <w:t>means any entity that is a parent corporation of the Company within the meaning of Section 424 of the Code.</w:t>
      </w:r>
    </w:p>
    <w:p>
      <w:pPr>
        <w:pStyle w:val="TextBody"/>
        <w:bidi w:val="0"/>
        <w:spacing w:lineRule="auto" w:line="288" w:before="0" w:after="240"/>
        <w:ind w:left="0" w:right="0" w:firstLine="720"/>
        <w:jc w:val="both"/>
        <w:rPr/>
      </w:pPr>
      <w:r>
        <w:rPr>
          <w:rFonts w:ascii="sans-serif" w:hAnsi="sans-serif"/>
          <w:b w:val="false"/>
          <w:color w:val="000000"/>
          <w:sz w:val="22"/>
        </w:rPr>
        <w:t>2.26    “</w:t>
      </w:r>
      <w:r>
        <w:rPr>
          <w:rFonts w:ascii="sans-serif" w:hAnsi="sans-serif"/>
          <w:b/>
          <w:i/>
          <w:color w:val="000000"/>
          <w:sz w:val="22"/>
        </w:rPr>
        <w:t>Participant</w:t>
      </w:r>
      <w:r>
        <w:rPr>
          <w:color w:val="000000"/>
        </w:rPr>
        <w:t xml:space="preserve">” </w:t>
      </w:r>
      <w:r>
        <w:rPr>
          <w:rFonts w:ascii="sans-serif" w:hAnsi="sans-serif"/>
          <w:b w:val="false"/>
          <w:color w:val="000000"/>
          <w:sz w:val="22"/>
        </w:rPr>
        <w:t>means any Eligible Employee who elects to participate in the Plan.</w:t>
      </w:r>
    </w:p>
    <w:p>
      <w:pPr>
        <w:pStyle w:val="TextBody"/>
        <w:bidi w:val="0"/>
        <w:spacing w:lineRule="auto" w:line="288" w:before="0" w:after="240"/>
        <w:ind w:left="0" w:right="0" w:firstLine="720"/>
        <w:jc w:val="both"/>
        <w:rPr/>
      </w:pPr>
      <w:r>
        <w:rPr>
          <w:rFonts w:ascii="sans-serif" w:hAnsi="sans-serif"/>
          <w:b w:val="false"/>
          <w:color w:val="000000"/>
          <w:sz w:val="22"/>
        </w:rPr>
        <w:t>2.27    “</w:t>
      </w:r>
      <w:r>
        <w:rPr>
          <w:rFonts w:ascii="sans-serif" w:hAnsi="sans-serif"/>
          <w:b/>
          <w:i/>
          <w:color w:val="000000"/>
          <w:sz w:val="22"/>
        </w:rPr>
        <w:t>Payday</w:t>
      </w:r>
      <w:r>
        <w:rPr>
          <w:color w:val="000000"/>
        </w:rPr>
        <w:t xml:space="preserve">” </w:t>
      </w:r>
      <w:r>
        <w:rPr>
          <w:rFonts w:ascii="sans-serif" w:hAnsi="sans-serif"/>
          <w:b w:val="false"/>
          <w:color w:val="000000"/>
          <w:sz w:val="22"/>
        </w:rPr>
        <w:t>means the regular and recurring established day for payment of Compensation to an Employee of the Company or any Designated Subsidiary.</w:t>
      </w:r>
    </w:p>
    <w:p>
      <w:pPr>
        <w:pStyle w:val="TextBody"/>
        <w:bidi w:val="0"/>
        <w:spacing w:lineRule="auto" w:line="288" w:before="0" w:after="240"/>
        <w:ind w:left="0" w:right="0" w:firstLine="720"/>
        <w:jc w:val="both"/>
        <w:rPr/>
      </w:pPr>
      <w:r>
        <w:rPr>
          <w:rFonts w:ascii="sans-serif" w:hAnsi="sans-serif"/>
          <w:b w:val="false"/>
          <w:color w:val="000000"/>
          <w:sz w:val="22"/>
        </w:rPr>
        <w:t>2.28    “</w:t>
      </w:r>
      <w:r>
        <w:rPr>
          <w:rFonts w:ascii="sans-serif" w:hAnsi="sans-serif"/>
          <w:b/>
          <w:i/>
          <w:color w:val="000000"/>
          <w:sz w:val="22"/>
        </w:rPr>
        <w:t>Plan</w:t>
      </w:r>
      <w:r>
        <w:rPr>
          <w:color w:val="000000"/>
        </w:rPr>
        <w:t xml:space="preserve">” </w:t>
      </w:r>
      <w:r>
        <w:rPr>
          <w:rFonts w:ascii="sans-serif" w:hAnsi="sans-serif"/>
          <w:b w:val="false"/>
          <w:color w:val="000000"/>
          <w:sz w:val="22"/>
        </w:rPr>
        <w:t>means this 2026 Employee Stock Purchase Plan, including both the Section 423 Component and Non-Section 423 Component and any other sub-plans or appendices hereto, as amended from time to time.</w:t>
      </w:r>
    </w:p>
    <w:p>
      <w:pPr>
        <w:pStyle w:val="TextBody"/>
        <w:bidi w:val="0"/>
        <w:spacing w:lineRule="auto" w:line="288" w:before="0" w:after="240"/>
        <w:ind w:left="0" w:right="0" w:firstLine="720"/>
        <w:jc w:val="both"/>
        <w:rPr/>
      </w:pPr>
      <w:r>
        <w:rPr>
          <w:rFonts w:ascii="sans-serif" w:hAnsi="sans-serif"/>
          <w:b w:val="false"/>
          <w:color w:val="000000"/>
          <w:sz w:val="22"/>
        </w:rPr>
        <w:t>2.29    “</w:t>
      </w:r>
      <w:r>
        <w:rPr>
          <w:rFonts w:ascii="sans-serif" w:hAnsi="sans-serif"/>
          <w:b/>
          <w:i/>
          <w:color w:val="000000"/>
          <w:sz w:val="22"/>
        </w:rPr>
        <w:t>Plan Account</w:t>
      </w:r>
      <w:r>
        <w:rPr>
          <w:color w:val="000000"/>
        </w:rPr>
        <w:t xml:space="preserve">” </w:t>
      </w:r>
      <w:r>
        <w:rPr>
          <w:rFonts w:ascii="sans-serif" w:hAnsi="sans-serif"/>
          <w:b w:val="false"/>
          <w:color w:val="000000"/>
          <w:sz w:val="22"/>
        </w:rPr>
        <w:t xml:space="preserve">means a bookkeeping account established and maintained by the Company in the name of each Participant. </w:t>
      </w:r>
    </w:p>
    <w:p>
      <w:pPr>
        <w:pStyle w:val="TextBody"/>
        <w:bidi w:val="0"/>
        <w:spacing w:lineRule="auto" w:line="288" w:before="0" w:after="240"/>
        <w:ind w:left="0" w:right="0" w:firstLine="720"/>
        <w:jc w:val="both"/>
        <w:rPr/>
      </w:pPr>
      <w:r>
        <w:rPr>
          <w:rFonts w:ascii="sans-serif" w:hAnsi="sans-serif"/>
          <w:b w:val="false"/>
          <w:color w:val="000000"/>
          <w:sz w:val="22"/>
        </w:rPr>
        <w:t>2.30    “</w:t>
      </w:r>
      <w:r>
        <w:rPr>
          <w:rFonts w:ascii="sans-serif" w:hAnsi="sans-serif"/>
          <w:b/>
          <w:i/>
          <w:color w:val="000000"/>
          <w:sz w:val="22"/>
        </w:rPr>
        <w:t>Purchase Period</w:t>
      </w:r>
      <w:r>
        <w:rPr>
          <w:color w:val="000000"/>
        </w:rPr>
        <w:t xml:space="preserve">” </w:t>
      </w:r>
      <w:r>
        <w:rPr>
          <w:rFonts w:ascii="sans-serif" w:hAnsi="sans-serif"/>
          <w:b w:val="false"/>
          <w:color w:val="000000"/>
          <w:sz w:val="22"/>
        </w:rPr>
        <w:t xml:space="preserve">means such period of time commencing on such dates as determined by the Board or Committee, in its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 </w:t>
      </w:r>
    </w:p>
    <w:p>
      <w:pPr>
        <w:pStyle w:val="TextBody"/>
        <w:bidi w:val="0"/>
        <w:spacing w:lineRule="auto" w:line="288" w:before="0" w:after="240"/>
        <w:ind w:left="0" w:right="0" w:firstLine="720"/>
        <w:jc w:val="both"/>
        <w:rPr/>
      </w:pPr>
      <w:r>
        <w:rPr>
          <w:rFonts w:ascii="sans-serif" w:hAnsi="sans-serif"/>
          <w:b w:val="false"/>
          <w:color w:val="000000"/>
          <w:sz w:val="22"/>
        </w:rPr>
        <w:t>2.31    “</w:t>
      </w:r>
      <w:r>
        <w:rPr>
          <w:rFonts w:ascii="sans-serif" w:hAnsi="sans-serif"/>
          <w:b/>
          <w:i/>
          <w:color w:val="000000"/>
          <w:sz w:val="22"/>
        </w:rPr>
        <w:t>Section 409A</w:t>
      </w:r>
      <w:r>
        <w:rPr>
          <w:color w:val="000000"/>
        </w:rPr>
        <w:t xml:space="preserve">” </w:t>
      </w:r>
      <w:r>
        <w:rPr>
          <w:rFonts w:ascii="sans-serif" w:hAnsi="sans-serif"/>
          <w:b w:val="false"/>
          <w:color w:val="000000"/>
          <w:sz w:val="22"/>
        </w:rPr>
        <w:t>means Section 409A of the Code and the regulations promulgated thereunder by the United States Treasury Department, as amended or as may be amended from time to time.</w:t>
      </w:r>
    </w:p>
    <w:p>
      <w:pPr>
        <w:pStyle w:val="TextBody"/>
        <w:bidi w:val="0"/>
        <w:spacing w:lineRule="auto" w:line="288" w:before="0" w:after="240"/>
        <w:ind w:left="0" w:right="0" w:firstLine="720"/>
        <w:jc w:val="both"/>
        <w:rPr/>
      </w:pPr>
      <w:r>
        <w:rPr>
          <w:rFonts w:ascii="sans-serif" w:hAnsi="sans-serif"/>
          <w:b w:val="false"/>
          <w:color w:val="000000"/>
          <w:sz w:val="22"/>
        </w:rPr>
        <w:t>2.32    “</w:t>
      </w:r>
      <w:r>
        <w:rPr>
          <w:rFonts w:ascii="sans-serif" w:hAnsi="sans-serif"/>
          <w:b/>
          <w:i/>
          <w:color w:val="000000"/>
          <w:sz w:val="22"/>
        </w:rPr>
        <w:t>Section 423 Component</w:t>
      </w:r>
      <w:r>
        <w:rPr>
          <w:color w:val="000000"/>
        </w:rPr>
        <w:t xml:space="preserve">” </w:t>
      </w:r>
      <w:r>
        <w:rPr>
          <w:rFonts w:ascii="sans-serif" w:hAnsi="sans-serif"/>
          <w:b w:val="false"/>
          <w:color w:val="000000"/>
          <w:sz w:val="22"/>
        </w:rPr>
        <w:t>means those Offerings under the Plan that are intended to meet the requirements under Section 423(b) of the Code.</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2560"/>
                <wp:effectExtent l="0" t="0" r="0" b="0"/>
                <wp:wrapNone/>
                <wp:docPr id="110" name="Frame10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2.33    “</w:t>
      </w:r>
      <w:r>
        <w:rPr>
          <w:rFonts w:ascii="sans-serif" w:hAnsi="sans-serif"/>
          <w:b/>
          <w:i/>
          <w:color w:val="000000"/>
          <w:sz w:val="22"/>
        </w:rPr>
        <w:t>Subsidiary</w:t>
      </w:r>
      <w:r>
        <w:rPr>
          <w:color w:val="000000"/>
        </w:rPr>
        <w:t xml:space="preserve">” </w:t>
      </w:r>
      <w:r>
        <w:rPr>
          <w:rFonts w:ascii="sans-serif" w:hAnsi="sans-serif"/>
          <w:b w:val="false"/>
          <w:color w:val="000000"/>
          <w:sz w:val="22"/>
        </w:rPr>
        <w:t>means (a) any Subsidiary Corporation, and (b) with respect to any Offering pursuant to the Non-Section 423 Component only, Subsidiary may also include any corporate or noncorporate entity in which the Company has a direct or indirect equity interest or significant business relationship.</w:t>
      </w:r>
    </w:p>
    <w:p>
      <w:pPr>
        <w:pStyle w:val="TextBody"/>
        <w:bidi w:val="0"/>
        <w:spacing w:lineRule="auto" w:line="288" w:before="0" w:after="240"/>
        <w:ind w:left="0" w:right="0" w:firstLine="720"/>
        <w:jc w:val="both"/>
        <w:rPr/>
      </w:pPr>
      <w:r>
        <w:rPr>
          <w:rFonts w:ascii="sans-serif" w:hAnsi="sans-serif"/>
          <w:b w:val="false"/>
          <w:color w:val="000000"/>
          <w:sz w:val="22"/>
        </w:rPr>
        <w:t>2.34    “</w:t>
      </w:r>
      <w:r>
        <w:rPr>
          <w:rFonts w:ascii="sans-serif" w:hAnsi="sans-serif"/>
          <w:b/>
          <w:i/>
          <w:color w:val="000000"/>
          <w:sz w:val="22"/>
        </w:rPr>
        <w:t>Subsidiary Corporation</w:t>
      </w:r>
      <w:r>
        <w:rPr>
          <w:color w:val="000000"/>
        </w:rPr>
        <w:t xml:space="preserve">” </w:t>
      </w:r>
      <w:r>
        <w:rPr>
          <w:rFonts w:ascii="sans-serif" w:hAnsi="sans-serif"/>
          <w:b w:val="false"/>
          <w:color w:val="000000"/>
          <w:sz w:val="22"/>
        </w:rPr>
        <w:t>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or any other entity that is a subsidiary corporation of the Company within the meaning of Section 424 of the Code.</w:t>
      </w:r>
    </w:p>
    <w:p>
      <w:pPr>
        <w:pStyle w:val="TextBody"/>
        <w:bidi w:val="0"/>
        <w:spacing w:lineRule="auto" w:line="288" w:before="0" w:after="240"/>
        <w:ind w:left="0" w:right="0" w:firstLine="720"/>
        <w:jc w:val="both"/>
        <w:rPr/>
      </w:pPr>
      <w:r>
        <w:rPr>
          <w:rFonts w:ascii="sans-serif" w:hAnsi="sans-serif"/>
          <w:b w:val="false"/>
          <w:color w:val="000000"/>
          <w:sz w:val="22"/>
        </w:rPr>
        <w:t>2.35    “</w:t>
      </w:r>
      <w:r>
        <w:rPr>
          <w:rFonts w:ascii="sans-serif" w:hAnsi="sans-serif"/>
          <w:b/>
          <w:i/>
          <w:color w:val="000000"/>
          <w:sz w:val="22"/>
        </w:rPr>
        <w:t>Trading</w:t>
      </w:r>
      <w:r>
        <w:rPr>
          <w:color w:val="000000"/>
        </w:rPr>
        <w:t xml:space="preserve"> </w:t>
      </w:r>
      <w:r>
        <w:rPr>
          <w:rFonts w:ascii="sans-serif" w:hAnsi="sans-serif"/>
          <w:b/>
          <w:i/>
          <w:color w:val="000000"/>
          <w:sz w:val="22"/>
        </w:rPr>
        <w:t>Day</w:t>
      </w:r>
      <w:r>
        <w:rPr>
          <w:color w:val="000000"/>
        </w:rPr>
        <w:t xml:space="preserve">” </w:t>
      </w:r>
      <w:r>
        <w:rPr>
          <w:rFonts w:ascii="sans-serif" w:hAnsi="sans-serif"/>
          <w:b w:val="false"/>
          <w:color w:val="000000"/>
          <w:sz w:val="22"/>
        </w:rPr>
        <w:t>means a day on which national stock exchanges in the United States are open for trading.</w:t>
      </w:r>
    </w:p>
    <w:p>
      <w:pPr>
        <w:pStyle w:val="TextBody"/>
        <w:bidi w:val="0"/>
        <w:spacing w:lineRule="auto" w:line="288" w:before="0" w:after="240"/>
        <w:ind w:left="0" w:right="0" w:firstLine="720"/>
        <w:jc w:val="both"/>
        <w:rPr/>
      </w:pPr>
      <w:r>
        <w:rPr>
          <w:rFonts w:ascii="sans-serif" w:hAnsi="sans-serif"/>
          <w:b w:val="false"/>
          <w:color w:val="000000"/>
          <w:sz w:val="22"/>
        </w:rPr>
        <w:t>2.36    “</w:t>
      </w:r>
      <w:r>
        <w:rPr>
          <w:rFonts w:ascii="sans-serif" w:hAnsi="sans-serif"/>
          <w:b/>
          <w:i/>
          <w:color w:val="000000"/>
          <w:sz w:val="22"/>
        </w:rPr>
        <w:t>Treas. Reg.</w:t>
      </w:r>
      <w:r>
        <w:rPr>
          <w:color w:val="000000"/>
        </w:rPr>
        <w:t xml:space="preserve">” </w:t>
      </w:r>
      <w:r>
        <w:rPr>
          <w:rFonts w:ascii="sans-serif" w:hAnsi="sans-serif"/>
          <w:b w:val="false"/>
          <w:color w:val="000000"/>
          <w:sz w:val="22"/>
        </w:rPr>
        <w:t>means U.S. Department of the Treasury regulations.</w:t>
      </w:r>
    </w:p>
    <w:p>
      <w:pPr>
        <w:pStyle w:val="TextBody"/>
        <w:bidi w:val="0"/>
        <w:spacing w:lineRule="auto" w:line="288" w:before="0" w:after="240"/>
        <w:ind w:left="0" w:right="0" w:firstLine="720"/>
        <w:jc w:val="both"/>
        <w:rPr/>
      </w:pPr>
      <w:r>
        <w:rPr>
          <w:rFonts w:ascii="sans-serif" w:hAnsi="sans-serif"/>
          <w:b w:val="false"/>
          <w:color w:val="000000"/>
          <w:sz w:val="22"/>
        </w:rPr>
        <w:t>2.37    “</w:t>
      </w:r>
      <w:r>
        <w:rPr>
          <w:rFonts w:ascii="sans-serif" w:hAnsi="sans-serif"/>
          <w:b/>
          <w:i/>
          <w:color w:val="000000"/>
          <w:sz w:val="22"/>
        </w:rPr>
        <w:t>Withdrawal Election</w:t>
      </w:r>
      <w:r>
        <w:rPr>
          <w:color w:val="000000"/>
        </w:rPr>
        <w:t xml:space="preserve">” </w:t>
      </w:r>
      <w:r>
        <w:rPr>
          <w:rFonts w:ascii="sans-serif" w:hAnsi="sans-serif"/>
          <w:b w:val="false"/>
          <w:color w:val="000000"/>
          <w:sz w:val="22"/>
        </w:rPr>
        <w:t>has the meaning set forth in Section 6.1(a) hereof.</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3</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PARTICIPATION</w:t>
      </w:r>
    </w:p>
    <w:p>
      <w:pPr>
        <w:pStyle w:val="TextBody"/>
        <w:bidi w:val="0"/>
        <w:spacing w:lineRule="auto" w:line="288" w:before="0" w:after="240"/>
        <w:ind w:left="0" w:right="0" w:firstLine="720"/>
        <w:jc w:val="both"/>
        <w:rPr/>
      </w:pPr>
      <w:r>
        <w:rPr>
          <w:rFonts w:ascii="sans-serif" w:hAnsi="sans-serif"/>
          <w:b w:val="false"/>
          <w:color w:val="000000"/>
          <w:sz w:val="22"/>
        </w:rPr>
        <w:t>3.1    </w:t>
      </w:r>
      <w:r>
        <w:rPr>
          <w:rFonts w:ascii="sans-serif" w:hAnsi="sans-serif"/>
          <w:b w:val="false"/>
          <w:color w:val="000000"/>
          <w:sz w:val="22"/>
          <w:u w:val="single"/>
        </w:rPr>
        <w:t>Eligibility</w:t>
      </w:r>
      <w:r>
        <w:rPr>
          <w:rFonts w:ascii="sans-serif" w:hAnsi="sans-serif"/>
          <w:b w:val="false"/>
          <w:color w:val="000000"/>
          <w:sz w:val="22"/>
        </w:rPr>
        <w:t xml:space="preserv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pStyle w:val="TextBody"/>
        <w:bidi w:val="0"/>
        <w:spacing w:lineRule="auto" w:line="288" w:before="0" w:after="240"/>
        <w:ind w:left="0" w:right="0" w:firstLine="720"/>
        <w:jc w:val="both"/>
        <w:rPr/>
      </w:pPr>
      <w:r>
        <w:rPr>
          <w:rFonts w:ascii="sans-serif" w:hAnsi="sans-serif"/>
          <w:b w:val="false"/>
          <w:color w:val="000000"/>
          <w:sz w:val="22"/>
        </w:rPr>
        <w:t>3.2    </w:t>
      </w:r>
      <w:r>
        <w:rPr>
          <w:rFonts w:ascii="sans-serif" w:hAnsi="sans-serif"/>
          <w:b w:val="false"/>
          <w:color w:val="000000"/>
          <w:sz w:val="22"/>
          <w:u w:val="single"/>
        </w:rPr>
        <w:t>Election to Participate; Payroll Deductions</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Except as provided in Sections 3.2(e) and 3.3 hereof or in an applicable Offering Document,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 </w:t>
      </w:r>
    </w:p>
    <w:p>
      <w:pPr>
        <w:pStyle w:val="TextBody"/>
        <w:bidi w:val="0"/>
        <w:spacing w:lineRule="auto" w:line="288" w:before="0" w:after="240"/>
        <w:ind w:left="0" w:right="0" w:firstLine="1440"/>
        <w:jc w:val="both"/>
        <w:rPr/>
      </w:pPr>
      <w:r>
        <w:rPr>
          <w:rFonts w:ascii="sans-serif" w:hAnsi="sans-serif"/>
          <w:b w:val="false"/>
          <w:color w:val="000000"/>
          <w:sz w:val="22"/>
        </w:rPr>
        <w:t>(b)    Subject to Section 3.1(b) hereof and except as may otherwise be determined by the Administrator and/or as set forth in the Offering Document, payroll deductions (i) shall equal at least 1% of the Participant’s Compensation as of each Payday of the Offering Period following the Enrollment Date, but not more than 15%</w:t>
      </w:r>
      <w:r>
        <w:rPr>
          <w:color w:val="000000"/>
        </w:rPr>
        <w:t xml:space="preserve"> </w:t>
      </w:r>
      <w:r>
        <w:rPr>
          <w:rFonts w:ascii="sans-serif" w:hAnsi="sans-serif"/>
          <w:b w:val="false"/>
          <w:color w:val="000000"/>
          <w:sz w:val="22"/>
        </w:rPr>
        <w:t xml:space="preserve">of the Participant’s Compensation as of each Payday of the Offering Period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2560"/>
                <wp:effectExtent l="0" t="0" r="0" b="0"/>
                <wp:wrapNone/>
                <wp:docPr id="111" name="Frame10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0" w:after="240"/>
        <w:jc w:val="both"/>
        <w:rPr/>
      </w:pPr>
      <w:r>
        <w:rPr>
          <w:rFonts w:ascii="sans-serif" w:hAnsi="sans-serif"/>
          <w:b w:val="false"/>
          <w:color w:val="000000"/>
          <w:sz w:val="22"/>
        </w:rPr>
        <w:t xml:space="preserve">following the Enrollment Date; and (ii) will be expressed as a whole number percentage. Amounts deducted from a Participant’s Compensation with respect to an Offering Period pursuant to this Section 3.2 shall be deducted each Payday through payroll deduction and credited to the Participant’s Plan Account; </w:t>
      </w:r>
      <w:r>
        <w:rPr>
          <w:rFonts w:ascii="sans-serif" w:hAnsi="sans-serif"/>
          <w:b w:val="false"/>
          <w:i/>
          <w:color w:val="000000"/>
          <w:sz w:val="22"/>
        </w:rPr>
        <w:t>provided</w:t>
      </w:r>
      <w:r>
        <w:rPr>
          <w:color w:val="000000"/>
        </w:rPr>
        <w:t xml:space="preserve"> </w:t>
      </w:r>
      <w:r>
        <w:rPr>
          <w:rFonts w:ascii="sans-serif" w:hAnsi="sans-serif"/>
          <w:b w:val="false"/>
          <w:color w:val="000000"/>
          <w:sz w:val="22"/>
        </w:rPr>
        <w:t xml:space="preserve">that for the first Offering Period, payroll deductions shall not begin until such date determined by the Administrator, in its sole discretion; </w:t>
      </w:r>
      <w:r>
        <w:rPr>
          <w:rFonts w:ascii="sans-serif" w:hAnsi="sans-serif"/>
          <w:b w:val="false"/>
          <w:i/>
          <w:color w:val="000000"/>
          <w:sz w:val="22"/>
        </w:rPr>
        <w:t xml:space="preserve">provided further </w:t>
      </w:r>
      <w:r>
        <w:rPr>
          <w:rFonts w:ascii="sans-serif" w:hAnsi="sans-serif"/>
          <w:b w:val="false"/>
          <w:color w:val="000000"/>
          <w:sz w:val="22"/>
        </w:rPr>
        <w:t xml:space="preserve">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w:t>
      </w:r>
    </w:p>
    <w:p>
      <w:pPr>
        <w:pStyle w:val="TextBody"/>
        <w:bidi w:val="0"/>
        <w:spacing w:lineRule="auto" w:line="288" w:before="0" w:after="240"/>
        <w:ind w:left="0" w:right="0" w:firstLine="1440"/>
        <w:jc w:val="both"/>
        <w:rPr/>
      </w:pPr>
      <w:r>
        <w:rPr>
          <w:rFonts w:ascii="sans-serif" w:hAnsi="sans-serif"/>
          <w:b w:val="false"/>
          <w:color w:val="000000"/>
          <w:sz w:val="22"/>
        </w:rPr>
        <w:t>(c)    Unless otherwise determined by the Administrator and/or as set forth in the Offering Document, following at least one payroll deduction, a Participant may decrease (to as low as zero) the amount deducted from such Participant’s Compensation only once during an Offering Period upon ten calendar days’ prior written notice to the Company. Unless otherwise determined by the Administrator and/or as set forth in the Offering Document, a Participant may not increase the amount deducted from such Participant’s Compensation during an Offering Period. If a Participant suspends his or her payroll deductions during an Offering Period: (i) such Participant’s cumulative unapplied payroll deductions prior to the suspension (if any) shall remain in his or her account and shall be applied to the purchase of Shares on the next occurring Purchase Date, and (ii) such Participant shall be deemed to have withdrawn from the Offering Period for all purposes upon such Purchase Date (and shall be eligible to enroll in any Offering Period commencing on or after such Purchase Date if he or she remains an Eligible Employee as of the start of any such subsequent Offering Period and timely submits a valid election to participate). For clarity, if a Participant who suspends participation in an Offering Period ceases to be an Eligible Employee or he or she withdraws from participation in such Offering Period, in either case, prior to the Purchase Date next-following his or her suspension of participation in the Offering Period, in any case, such Participant’s cumulative unapplied payroll deductions shall be returned to him or her in accordance with Article 6 hereof.</w:t>
      </w:r>
      <w:r>
        <w:rPr>
          <w:color w:val="000000"/>
        </w:rPr>
        <w:t xml:space="preserve"> </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(d)    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 Such Participant will be deemed to have accepted the terms and conditions of the Plan, the applicable Offering Document, any sub-plan, enrollment form, subscription agreement and/or any other terms and conditions of participation in effect at the time each subsequent Offering Period begins.</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(e)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 </w:t>
      </w:r>
    </w:p>
    <w:p>
      <w:pPr>
        <w:pStyle w:val="TextBody"/>
        <w:bidi w:val="0"/>
        <w:spacing w:lineRule="auto" w:line="288" w:before="0" w:after="0"/>
        <w:jc w:val="both"/>
        <w:rPr/>
      </w:pPr>
      <w:r>
        <w:rPr>
          <w:rFonts w:ascii="sans-serif" w:hAnsi="sans-serif"/>
          <w:b w:val="false"/>
          <w:color w:val="000000"/>
          <w:sz w:val="22"/>
        </w:rPr>
        <w:t>(f)</w:t>
      </w:r>
      <w:r>
        <w:rPr>
          <w:color w:val="000000"/>
        </w:rPr>
        <w:t>    </w:t>
      </w:r>
      <w:r>
        <w:rPr>
          <w:rFonts w:ascii="sans-serif" w:hAnsi="sans-serif"/>
          <w:b w:val="false"/>
          <w:color w:val="000000"/>
          <w:sz w:val="22"/>
        </w:rPr>
        <w:t xml:space="preserve">To determine which Designated Subsidiaries shall participate in the Non-Section </w:t>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423 Component and which shall participate in the Section 423 Component.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2560"/>
                <wp:effectExtent l="0" t="0" r="0" b="0"/>
                <wp:wrapNone/>
                <wp:docPr id="112" name="Frame1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before="0" w:after="0"/>
        <w:ind w:left="0" w:right="0" w:firstLine="1439"/>
        <w:jc w:val="both"/>
        <w:rPr/>
      </w:pPr>
      <w:r>
        <w:rPr/>
      </w:r>
    </w:p>
    <w:p>
      <w:pPr>
        <w:pStyle w:val="TextBody"/>
        <w:bidi w:val="0"/>
        <w:spacing w:lineRule="auto" w:line="288" w:before="0" w:after="240"/>
        <w:ind w:left="0" w:right="0" w:firstLine="720"/>
        <w:jc w:val="both"/>
        <w:rPr/>
      </w:pPr>
      <w:r>
        <w:rPr>
          <w:rFonts w:ascii="sans-serif" w:hAnsi="sans-serif"/>
          <w:b w:val="false"/>
          <w:color w:val="000000"/>
          <w:sz w:val="22"/>
        </w:rPr>
        <w:t>3.3    </w:t>
      </w:r>
      <w:r>
        <w:rPr>
          <w:rFonts w:ascii="sans-serif" w:hAnsi="sans-serif"/>
          <w:b w:val="false"/>
          <w:color w:val="000000"/>
          <w:sz w:val="22"/>
          <w:u w:val="single"/>
        </w:rPr>
        <w:t>Leave of Absence</w:t>
      </w:r>
      <w:r>
        <w:rPr>
          <w:rFonts w:ascii="sans-serif" w:hAnsi="sans-serif"/>
          <w:b w:val="false"/>
          <w:color w:val="000000"/>
          <w:sz w:val="22"/>
        </w:rPr>
        <w:t>. During leaves of absence approved by the Company, which in the case of the Section 423 Component meets the requirements of Treas. Reg. § 1.421-1(h)(2), a Participant may continue participation in the Plan by making cash payments to the Company on the Participant’s normal payday equal to the Participant’s authorized payroll deduction.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4</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PURCHASE OF SHARES</w:t>
      </w:r>
    </w:p>
    <w:p>
      <w:pPr>
        <w:pStyle w:val="TextBody"/>
        <w:bidi w:val="0"/>
        <w:spacing w:lineRule="auto" w:line="288" w:before="0" w:after="240"/>
        <w:ind w:left="0" w:right="0" w:firstLine="720"/>
        <w:jc w:val="both"/>
        <w:rPr/>
      </w:pPr>
      <w:r>
        <w:rPr>
          <w:rFonts w:ascii="sans-serif" w:hAnsi="sans-serif"/>
          <w:b w:val="false"/>
          <w:color w:val="000000"/>
          <w:sz w:val="22"/>
        </w:rPr>
        <w:t>4.1    </w:t>
      </w:r>
      <w:r>
        <w:rPr>
          <w:rFonts w:ascii="sans-serif" w:hAnsi="sans-serif"/>
          <w:b w:val="false"/>
          <w:color w:val="000000"/>
          <w:sz w:val="22"/>
          <w:u w:val="single"/>
        </w:rPr>
        <w:t>Grant of Option</w:t>
      </w:r>
      <w:r>
        <w:rPr>
          <w:rFonts w:ascii="sans-serif" w:hAnsi="sans-serif"/>
          <w:b w:val="false"/>
          <w:color w:val="000000"/>
          <w:sz w:val="22"/>
        </w:rPr>
        <w:t>.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sans-serif" w:hAnsi="sans-serif"/>
          <w:b/>
          <w:i/>
          <w:color w:val="000000"/>
          <w:sz w:val="22"/>
        </w:rPr>
        <w:t>Offering Document</w:t>
      </w:r>
      <w:r>
        <w:rPr>
          <w:color w:val="000000"/>
        </w:rPr>
        <w:t>”</w:t>
      </w:r>
      <w:r>
        <w:rPr>
          <w:rFonts w:ascii="sans-serif" w:hAnsi="sans-serif"/>
          <w:b w:val="false"/>
          <w:color w:val="000000"/>
          <w:sz w:val="22"/>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sans-serif" w:hAnsi="sans-serif"/>
          <w:b w:val="false"/>
          <w:i/>
          <w:color w:val="000000"/>
          <w:sz w:val="22"/>
        </w:rPr>
        <w:t>provided</w:t>
      </w:r>
      <w:r>
        <w:rPr>
          <w:color w:val="000000"/>
        </w:rPr>
        <w:t xml:space="preserve"> </w:t>
      </w:r>
      <w:r>
        <w:rPr>
          <w:rFonts w:ascii="sans-serif" w:hAnsi="sans-serif"/>
          <w:b w:val="false"/>
          <w:color w:val="000000"/>
          <w:sz w:val="22"/>
        </w:rPr>
        <w:t>that, unless otherwise set forth in the Offering Document, in no event shall a Participant be permitted to purchase during each Offering Period more than 2,000shares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pStyle w:val="TextBody"/>
        <w:bidi w:val="0"/>
        <w:spacing w:lineRule="auto" w:line="288" w:before="0" w:after="240"/>
        <w:ind w:left="0" w:right="0" w:firstLine="720"/>
        <w:jc w:val="both"/>
        <w:rPr/>
      </w:pPr>
      <w:r>
        <w:rPr>
          <w:rFonts w:ascii="sans-serif" w:hAnsi="sans-serif"/>
          <w:b w:val="false"/>
          <w:color w:val="000000"/>
          <w:sz w:val="22"/>
        </w:rPr>
        <w:t>4.2    </w:t>
      </w:r>
      <w:r>
        <w:rPr>
          <w:rFonts w:ascii="sans-serif" w:hAnsi="sans-serif"/>
          <w:b w:val="false"/>
          <w:color w:val="000000"/>
          <w:sz w:val="22"/>
          <w:u w:val="single"/>
        </w:rPr>
        <w:t>Option Price</w:t>
      </w:r>
      <w:r>
        <w:rPr>
          <w:rFonts w:ascii="sans-serif" w:hAnsi="sans-serif"/>
          <w:b w:val="false"/>
          <w:color w:val="000000"/>
          <w:sz w:val="22"/>
        </w:rPr>
        <w:t>. The “</w:t>
      </w:r>
      <w:r>
        <w:rPr>
          <w:rFonts w:ascii="sans-serif" w:hAnsi="sans-serif"/>
          <w:b/>
          <w:i/>
          <w:color w:val="000000"/>
          <w:sz w:val="22"/>
        </w:rPr>
        <w:t>Option Price</w:t>
      </w:r>
      <w:r>
        <w:rPr>
          <w:color w:val="000000"/>
        </w:rPr>
        <w:t xml:space="preserve">” </w:t>
      </w:r>
      <w:r>
        <w:rPr>
          <w:rFonts w:ascii="sans-serif" w:hAnsi="sans-serif"/>
          <w:b w:val="false"/>
          <w:color w:val="000000"/>
          <w:sz w:val="22"/>
        </w:rPr>
        <w:t xml:space="preserve">per share of Common Stock to be paid by a Participant upon exercise of the Participant’s Option on an Exercise Date for an Offering Period shall equal 85% of the lesser of the Fair Market Value of a share of Common Stock on (a) the applicable Grant Date and (b) the applicable Exercise Date, or such other price designated by the Administrator; </w:t>
      </w:r>
      <w:r>
        <w:rPr>
          <w:rFonts w:ascii="sans-serif" w:hAnsi="sans-serif"/>
          <w:b w:val="false"/>
          <w:i/>
          <w:color w:val="000000"/>
          <w:sz w:val="22"/>
        </w:rPr>
        <w:t>provided</w:t>
      </w:r>
      <w:r>
        <w:rPr>
          <w:color w:val="000000"/>
        </w:rPr>
        <w:t xml:space="preserve"> </w:t>
      </w:r>
      <w:r>
        <w:rPr>
          <w:rFonts w:ascii="sans-serif" w:hAnsi="sans-serif"/>
          <w:b w:val="false"/>
          <w:color w:val="000000"/>
          <w:sz w:val="22"/>
        </w:rPr>
        <w:t xml:space="preserve">that in no event shall the Option Price per share of Common Stock be less than the par value per share of the Common Stock; </w:t>
      </w:r>
      <w:r>
        <w:rPr>
          <w:rFonts w:ascii="sans-serif" w:hAnsi="sans-serif"/>
          <w:b w:val="false"/>
          <w:i/>
          <w:color w:val="000000"/>
          <w:sz w:val="22"/>
        </w:rPr>
        <w:t>provided further</w:t>
      </w:r>
      <w:r>
        <w:rPr>
          <w:rFonts w:ascii="sans-serif" w:hAnsi="sans-serif"/>
          <w:b w:val="false"/>
          <w:color w:val="000000"/>
          <w:sz w:val="22"/>
        </w:rPr>
        <w:t>, that no Option Price shall be designated by the Administrator that would cause the Section 423 Component to fail to meet the requirements under Section 423(b) of the Code.</w:t>
      </w:r>
    </w:p>
    <w:p>
      <w:pPr>
        <w:pStyle w:val="TextBody"/>
        <w:bidi w:val="0"/>
        <w:spacing w:lineRule="auto" w:line="288" w:before="0" w:after="240"/>
        <w:ind w:left="0" w:right="0" w:firstLine="720"/>
        <w:jc w:val="both"/>
        <w:rPr/>
      </w:pPr>
      <w:r>
        <w:rPr>
          <w:rFonts w:ascii="sans-serif" w:hAnsi="sans-serif"/>
          <w:b w:val="false"/>
          <w:color w:val="000000"/>
          <w:sz w:val="22"/>
        </w:rPr>
        <w:t>4.3    </w:t>
      </w:r>
      <w:r>
        <w:rPr>
          <w:rFonts w:ascii="sans-serif" w:hAnsi="sans-serif"/>
          <w:b w:val="false"/>
          <w:color w:val="000000"/>
          <w:sz w:val="22"/>
          <w:u w:val="single"/>
        </w:rPr>
        <w:t>Purchase of Shares</w:t>
      </w:r>
      <w:r>
        <w:rPr>
          <w:rFonts w:ascii="sans-serif" w:hAnsi="sans-serif"/>
          <w:b w:val="false"/>
          <w:color w:val="000000"/>
          <w:sz w:val="22"/>
        </w:rPr>
        <w: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(a)    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Except as may otherwise be provided by the Administrator with respect to any Offering and/or as set forth in the Offering Document,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2560"/>
                <wp:effectExtent l="0" t="0" r="0" b="0"/>
                <wp:wrapNone/>
                <wp:docPr id="113" name="Frame1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Period or Offering Period in accordance with the prior sentence shall be promptly refunded to the applicable Participant. In no event shall an amount greater than or equal to the per share Option Price as of an Exercise Date be carried forward to the next Purchase Period or Offering Period.</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As soon as practicable following each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Agent for a designated period of time and/or may establish other procedures to permit tracking of qualifying and disqualifying dispositions of such shares of Common Stock or to otherwise facilitate compliance with applicable law or the administration of the Plan.</w:t>
      </w:r>
    </w:p>
    <w:p>
      <w:pPr>
        <w:pStyle w:val="TextBody"/>
        <w:bidi w:val="0"/>
        <w:spacing w:lineRule="auto" w:line="288" w:before="0" w:after="240"/>
        <w:ind w:left="0" w:right="0" w:firstLine="720"/>
        <w:jc w:val="both"/>
        <w:rPr/>
      </w:pPr>
      <w:r>
        <w:rPr>
          <w:rFonts w:ascii="sans-serif" w:hAnsi="sans-serif"/>
          <w:b w:val="false"/>
          <w:color w:val="000000"/>
          <w:sz w:val="22"/>
        </w:rPr>
        <w:t>4.4    </w:t>
      </w:r>
      <w:r>
        <w:rPr>
          <w:rFonts w:ascii="sans-serif" w:hAnsi="sans-serif"/>
          <w:b w:val="false"/>
          <w:color w:val="000000"/>
          <w:sz w:val="22"/>
          <w:u w:val="single"/>
        </w:rPr>
        <w:t>Automatic Termination of Offering Period</w:t>
      </w:r>
      <w:r>
        <w:rPr>
          <w:rFonts w:ascii="sans-serif" w:hAnsi="sans-serif"/>
          <w:b w:val="false"/>
          <w:color w:val="000000"/>
          <w:sz w:val="22"/>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pStyle w:val="TextBody"/>
        <w:bidi w:val="0"/>
        <w:spacing w:lineRule="auto" w:line="288" w:before="0" w:after="240"/>
        <w:ind w:left="0" w:right="0" w:firstLine="720"/>
        <w:jc w:val="both"/>
        <w:rPr/>
      </w:pPr>
      <w:r>
        <w:rPr>
          <w:rFonts w:ascii="sans-serif" w:hAnsi="sans-serif"/>
          <w:b w:val="false"/>
          <w:color w:val="000000"/>
          <w:sz w:val="22"/>
        </w:rPr>
        <w:t>4.5    </w:t>
      </w:r>
      <w:r>
        <w:rPr>
          <w:rFonts w:ascii="sans-serif" w:hAnsi="sans-serif"/>
          <w:b w:val="false"/>
          <w:color w:val="000000"/>
          <w:sz w:val="22"/>
          <w:u w:val="single"/>
        </w:rPr>
        <w:t>Transferability of Rights</w:t>
      </w:r>
      <w:r>
        <w:rPr>
          <w:rFonts w:ascii="sans-serif" w:hAnsi="sans-serif"/>
          <w:b w:val="false"/>
          <w:color w:val="000000"/>
          <w:sz w:val="22"/>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5</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PROVISIONS RELATING TO COMMON STOCK</w:t>
      </w:r>
    </w:p>
    <w:p>
      <w:pPr>
        <w:pStyle w:val="TextBody"/>
        <w:bidi w:val="0"/>
        <w:spacing w:lineRule="auto" w:line="288" w:before="0" w:after="240"/>
        <w:ind w:left="0" w:right="0" w:firstLine="720"/>
        <w:jc w:val="both"/>
        <w:rPr/>
      </w:pPr>
      <w:r>
        <w:rPr>
          <w:rFonts w:ascii="sans-serif" w:hAnsi="sans-serif"/>
          <w:b w:val="false"/>
          <w:color w:val="000000"/>
          <w:sz w:val="22"/>
        </w:rPr>
        <w:t>5.1    </w:t>
      </w:r>
      <w:r>
        <w:rPr>
          <w:rFonts w:ascii="sans-serif" w:hAnsi="sans-serif"/>
          <w:b w:val="false"/>
          <w:color w:val="000000"/>
          <w:sz w:val="22"/>
          <w:u w:val="single"/>
        </w:rPr>
        <w:t>Common Stock Reserved</w:t>
      </w:r>
      <w:r>
        <w:rPr>
          <w:rFonts w:ascii="sans-serif" w:hAnsi="sans-serif"/>
          <w:b w:val="false"/>
          <w:color w:val="000000"/>
          <w:sz w:val="22"/>
        </w:rPr>
        <w:t xml:space="preserve">. Subject to adjustment as provided in Section 5.2 hereof, the maximum number of shares of Common Stock that shall be made available for sale under the Plan shall be the sum of (a) 650,004 and (b) an increase commencing on January 1, 2027 and continuing annually on the anniversary thereof through (and including) January 1, 2036, equal to the lesser of (A) 1% of the shares of all classes of the Company’s common stock outstanding (on an as converted basis) on the last day of the immediately preceding fiscal year and (B) such smaller number of shares of Common Stock as determined by the Board or the Committee; </w:t>
      </w:r>
      <w:r>
        <w:rPr>
          <w:rFonts w:ascii="sans-serif" w:hAnsi="sans-serif"/>
          <w:b w:val="false"/>
          <w:i/>
          <w:color w:val="000000"/>
          <w:sz w:val="22"/>
        </w:rPr>
        <w:t>provided, however</w:t>
      </w:r>
      <w:r>
        <w:rPr>
          <w:rFonts w:ascii="sans-serif" w:hAnsi="sans-serif"/>
          <w:b w:val="false"/>
          <w:color w:val="000000"/>
          <w:sz w:val="22"/>
        </w:rPr>
        <w:t>, no more than 1,950,012 Shares may be issued under the Plan. Shares made available for sale under the Plan may be authorized but unissued shares, treasury shares of Common Stock, or reacquired shares reserved for issuance under the Plan. All or any portion of such maximum number of shares may be issued under the Section 423 Component.</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2560"/>
                <wp:effectExtent l="0" t="0" r="0" b="0"/>
                <wp:wrapNone/>
                <wp:docPr id="114" name="Frame1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288" w:before="0" w:after="240"/>
        <w:ind w:left="0" w:right="0" w:firstLine="720"/>
        <w:jc w:val="both"/>
        <w:rPr/>
      </w:pPr>
      <w:r>
        <w:rPr>
          <w:rFonts w:ascii="sans-serif" w:hAnsi="sans-serif"/>
          <w:b w:val="false"/>
          <w:color w:val="000000"/>
          <w:sz w:val="22"/>
        </w:rPr>
        <w:t>5.2    </w:t>
      </w:r>
      <w:r>
        <w:rPr>
          <w:rFonts w:ascii="sans-serif" w:hAnsi="sans-serif"/>
          <w:b w:val="false"/>
          <w:color w:val="000000"/>
          <w:sz w:val="22"/>
          <w:u w:val="single"/>
        </w:rPr>
        <w:t>Adjustments Upon Changes in Capitalization, Dissolution, Liquidation, Merger or Asset</w:t>
      </w:r>
      <w:r>
        <w:rPr>
          <w:color w:val="000000"/>
        </w:rPr>
        <w:t xml:space="preserve"> </w:t>
      </w:r>
      <w:r>
        <w:rPr>
          <w:rFonts w:ascii="sans-serif" w:hAnsi="sans-serif"/>
          <w:b w:val="false"/>
          <w:color w:val="000000"/>
          <w:sz w:val="22"/>
          <w:u w:val="single"/>
        </w:rPr>
        <w:t>Sale</w:t>
      </w:r>
      <w:r>
        <w:rPr>
          <w:rFonts w:ascii="sans-serif" w:hAnsi="sans-serif"/>
          <w:b w:val="false"/>
          <w:color w:val="000000"/>
          <w:sz w:val="22"/>
        </w:rPr>
        <w:t>.</w:t>
      </w:r>
    </w:p>
    <w:p>
      <w:pPr>
        <w:pStyle w:val="TextBody"/>
        <w:bidi w:val="0"/>
        <w:spacing w:lineRule="auto" w:line="288" w:before="0" w:after="240"/>
        <w:ind w:left="0" w:right="0" w:firstLine="1440"/>
        <w:jc w:val="both"/>
        <w:rPr/>
      </w:pPr>
      <w:r>
        <w:rPr>
          <w:rFonts w:ascii="sans-serif" w:hAnsi="sans-serif"/>
          <w:b w:val="false"/>
          <w:color w:val="000000"/>
          <w:sz w:val="22"/>
        </w:rPr>
        <w:t>(a)    </w:t>
      </w:r>
      <w:r>
        <w:rPr>
          <w:rFonts w:ascii="sans-serif" w:hAnsi="sans-serif"/>
          <w:b w:val="false"/>
          <w:color w:val="000000"/>
          <w:sz w:val="22"/>
          <w:u w:val="single"/>
        </w:rPr>
        <w:t>Changes in Capitalization</w:t>
      </w:r>
      <w:r>
        <w:rPr>
          <w:rFonts w:ascii="sans-serif" w:hAnsi="sans-serif"/>
          <w:b w:val="false"/>
          <w:color w:val="000000"/>
          <w:sz w:val="22"/>
        </w:rPr>
        <w:t xml:space="preserve">. Subject to any required action by the stockholders of the Company, the class(es) and number of shares of Common Stock which have been authorized for issuance under the Plan but not yet placed under Option, as well as the price per share and the class(es) and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sans-serif" w:hAnsi="sans-serif"/>
          <w:b w:val="false"/>
          <w:i/>
          <w:color w:val="000000"/>
          <w:sz w:val="22"/>
        </w:rPr>
        <w:t>provided</w:t>
      </w:r>
      <w:r>
        <w:rPr>
          <w:rFonts w:ascii="sans-serif" w:hAnsi="sans-serif"/>
          <w:b w:val="false"/>
          <w:color w:val="000000"/>
          <w:sz w:val="22"/>
        </w:rPr>
        <w:t xml:space="preserve">, </w:t>
      </w:r>
      <w:r>
        <w:rPr>
          <w:rFonts w:ascii="sans-serif" w:hAnsi="sans-serif"/>
          <w:b w:val="false"/>
          <w:i/>
          <w:color w:val="000000"/>
          <w:sz w:val="22"/>
        </w:rPr>
        <w:t>however</w:t>
      </w:r>
      <w:r>
        <w:rPr>
          <w:rFonts w:ascii="sans-serif" w:hAnsi="sans-serif"/>
          <w:b w:val="false"/>
          <w:color w:val="000000"/>
          <w:sz w:val="22"/>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pStyle w:val="TextBody"/>
        <w:bidi w:val="0"/>
        <w:spacing w:lineRule="auto" w:line="288" w:before="0" w:after="240"/>
        <w:ind w:left="0" w:right="0" w:firstLine="1440"/>
        <w:jc w:val="both"/>
        <w:rPr/>
      </w:pPr>
      <w:r>
        <w:rPr>
          <w:rFonts w:ascii="sans-serif" w:hAnsi="sans-serif"/>
          <w:b w:val="false"/>
          <w:color w:val="000000"/>
          <w:sz w:val="22"/>
        </w:rPr>
        <w:t>(b)    </w:t>
      </w:r>
      <w:r>
        <w:rPr>
          <w:rFonts w:ascii="sans-serif" w:hAnsi="sans-serif"/>
          <w:b w:val="false"/>
          <w:color w:val="000000"/>
          <w:sz w:val="22"/>
          <w:u w:val="single"/>
        </w:rPr>
        <w:t>Dissolution or Liquidation</w:t>
      </w:r>
      <w:r>
        <w:rPr>
          <w:rFonts w:ascii="sans-serif" w:hAnsi="sans-serif"/>
          <w:b w:val="false"/>
          <w:color w:val="000000"/>
          <w:sz w:val="22"/>
        </w:rPr>
        <w:t>. In the event of the proposed dissolution or liquidation of the Company, the Offering Periods then in progress shall be shortened by setting a new Exercise Date (the “</w:t>
      </w:r>
      <w:r>
        <w:rPr>
          <w:rFonts w:ascii="sans-serif" w:hAnsi="sans-serif"/>
          <w:b/>
          <w:i/>
          <w:color w:val="000000"/>
          <w:sz w:val="22"/>
        </w:rPr>
        <w:t>New Exercise Date</w:t>
      </w:r>
      <w:r>
        <w:rPr>
          <w:color w:val="000000"/>
        </w:rPr>
        <w:t>”</w:t>
      </w:r>
      <w:r>
        <w:rPr>
          <w:rFonts w:ascii="sans-serif" w:hAnsi="sans-serif"/>
          <w:b w:val="false"/>
          <w:color w:val="000000"/>
          <w:sz w:val="22"/>
        </w:rPr>
        <w:t xml:space="preserve">),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 </w:t>
      </w:r>
    </w:p>
    <w:p>
      <w:pPr>
        <w:pStyle w:val="TextBody"/>
        <w:bidi w:val="0"/>
        <w:spacing w:lineRule="auto" w:line="288" w:before="0" w:after="240"/>
        <w:ind w:left="0" w:right="0" w:firstLine="1440"/>
        <w:jc w:val="both"/>
        <w:rPr/>
      </w:pPr>
      <w:r>
        <w:rPr>
          <w:rFonts w:ascii="sans-serif" w:hAnsi="sans-serif"/>
          <w:b w:val="false"/>
          <w:color w:val="000000"/>
          <w:sz w:val="22"/>
        </w:rPr>
        <w:t>(c)    </w:t>
      </w:r>
      <w:r>
        <w:rPr>
          <w:rFonts w:ascii="sans-serif" w:hAnsi="sans-serif"/>
          <w:b w:val="false"/>
          <w:color w:val="000000"/>
          <w:sz w:val="22"/>
          <w:u w:val="single"/>
        </w:rPr>
        <w:t>Merger or Asset Sale</w:t>
      </w:r>
      <w:r>
        <w:rPr>
          <w:rFonts w:ascii="sans-serif" w:hAnsi="sans-serif"/>
          <w:b w:val="false"/>
          <w:color w:val="000000"/>
          <w:sz w:val="22"/>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pStyle w:val="TextBody"/>
        <w:bidi w:val="0"/>
        <w:spacing w:lineRule="auto" w:line="288" w:before="0" w:after="240"/>
        <w:ind w:left="0" w:right="0" w:firstLine="1440"/>
        <w:jc w:val="both"/>
        <w:rPr/>
      </w:pPr>
      <w:r>
        <w:rPr>
          <w:rFonts w:ascii="sans-serif" w:hAnsi="sans-serif"/>
          <w:b w:val="false"/>
          <w:color w:val="000000"/>
          <w:sz w:val="22"/>
        </w:rPr>
        <w:t>(d)    </w:t>
      </w:r>
      <w:r>
        <w:rPr>
          <w:rFonts w:ascii="sans-serif" w:hAnsi="sans-serif"/>
          <w:b w:val="false"/>
          <w:color w:val="000000"/>
          <w:sz w:val="22"/>
          <w:u w:val="single"/>
        </w:rPr>
        <w:t>No Adjustment Under Certain Circumstances</w:t>
      </w:r>
      <w:r>
        <w:rPr>
          <w:rFonts w:ascii="sans-serif" w:hAnsi="sans-serif"/>
          <w:b w:val="false"/>
          <w:color w:val="000000"/>
          <w:sz w:val="22"/>
        </w:rPr>
        <w:t>. Unless determined otherwise by the Administrator, no adjustment or action described in this Article 5 or in any other provision of the Plan shall be authorized to the extent that such adjustment or action would cause the Section 423 Component of the Plan to fail to satisfy the requirements of Section 423 of the Code.</w:t>
      </w:r>
    </w:p>
    <w:p>
      <w:pPr>
        <w:pStyle w:val="TextBody"/>
        <w:bidi w:val="0"/>
        <w:spacing w:lineRule="auto" w:line="288" w:before="0" w:after="240"/>
        <w:ind w:left="0" w:right="0" w:firstLine="720"/>
        <w:jc w:val="both"/>
        <w:rPr/>
      </w:pPr>
      <w:r>
        <w:rPr>
          <w:rFonts w:ascii="sans-serif" w:hAnsi="sans-serif"/>
          <w:b w:val="false"/>
          <w:color w:val="000000"/>
          <w:sz w:val="22"/>
        </w:rPr>
        <w:t>5.3    </w:t>
      </w:r>
      <w:r>
        <w:rPr>
          <w:rFonts w:ascii="sans-serif" w:hAnsi="sans-serif"/>
          <w:b w:val="false"/>
          <w:color w:val="000000"/>
          <w:sz w:val="22"/>
          <w:u w:val="single"/>
        </w:rPr>
        <w:t>Insufficient Shares</w:t>
      </w:r>
      <w:r>
        <w:rPr>
          <w:rFonts w:ascii="sans-serif" w:hAnsi="sans-serif"/>
          <w:b w:val="false"/>
          <w:color w:val="000000"/>
          <w:sz w:val="22"/>
        </w:rPr>
        <w:t xml:space="preserve">. If the Administrator determines that, on a given Exercise Date, the number of shares of Common Stock with respect to which Options are to be exercised may exceed the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2560"/>
                <wp:effectExtent l="0" t="0" r="0" b="0"/>
                <wp:wrapNone/>
                <wp:docPr id="115" name="Frame1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 xml:space="preserve">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 </w:t>
      </w:r>
    </w:p>
    <w:p>
      <w:pPr>
        <w:pStyle w:val="TextBody"/>
        <w:bidi w:val="0"/>
        <w:spacing w:lineRule="auto" w:line="288" w:before="0" w:after="240"/>
        <w:ind w:left="0" w:right="0" w:firstLine="720"/>
        <w:jc w:val="both"/>
        <w:rPr/>
      </w:pPr>
      <w:r>
        <w:rPr>
          <w:rFonts w:ascii="sans-serif" w:hAnsi="sans-serif"/>
          <w:b w:val="false"/>
          <w:color w:val="000000"/>
          <w:sz w:val="22"/>
        </w:rPr>
        <w:t>5.4    </w:t>
      </w:r>
      <w:r>
        <w:rPr>
          <w:rFonts w:ascii="sans-serif" w:hAnsi="sans-serif"/>
          <w:b w:val="false"/>
          <w:color w:val="000000"/>
          <w:sz w:val="22"/>
          <w:u w:val="single"/>
        </w:rPr>
        <w:t>Rights as Stockholders</w:t>
      </w:r>
      <w:r>
        <w:rPr>
          <w:rFonts w:ascii="sans-serif" w:hAnsi="sans-serif"/>
          <w:b w:val="false"/>
          <w:color w:val="000000"/>
          <w:sz w:val="22"/>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 No adjustments shall be made for dividends (ordinary or extraordinary, whether in cash securities, or other property) or distribution or other rights for which the record date occurs prior to the date of such deposit, except as otherwise expressly provided herein or as determined by the Administrator.</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ARTICLE 6</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TERMINATION OF PARTICIPATION</w:t>
      </w:r>
    </w:p>
    <w:p>
      <w:pPr>
        <w:pStyle w:val="TextBody"/>
        <w:bidi w:val="0"/>
        <w:spacing w:lineRule="auto" w:line="288" w:before="0" w:after="240"/>
        <w:ind w:left="0" w:right="0" w:firstLine="720"/>
        <w:jc w:val="both"/>
        <w:rPr/>
      </w:pPr>
      <w:r>
        <w:rPr>
          <w:rFonts w:ascii="sans-serif" w:hAnsi="sans-serif"/>
          <w:b w:val="false"/>
          <w:color w:val="000000"/>
          <w:sz w:val="22"/>
        </w:rPr>
        <w:t>6.1    </w:t>
      </w:r>
      <w:r>
        <w:rPr>
          <w:rFonts w:ascii="sans-serif" w:hAnsi="sans-serif"/>
          <w:b w:val="false"/>
          <w:color w:val="000000"/>
          <w:sz w:val="22"/>
          <w:u w:val="single"/>
        </w:rPr>
        <w:t>Cessation of Contributions; Voluntary Withdrawal</w:t>
      </w:r>
      <w:r>
        <w:rPr>
          <w:rFonts w:ascii="sans-serif" w:hAnsi="sans-serif"/>
          <w:b w:val="false"/>
          <w:color w:val="000000"/>
          <w:sz w:val="22"/>
        </w:rPr>
        <w:t>.</w:t>
      </w:r>
    </w:p>
    <w:p>
      <w:pPr>
        <w:pStyle w:val="TextBody"/>
        <w:bidi w:val="0"/>
        <w:spacing w:lineRule="auto" w:line="288" w:before="0" w:after="240"/>
        <w:ind w:left="0" w:right="0" w:firstLine="1440"/>
        <w:jc w:val="both"/>
        <w:rPr/>
      </w:pPr>
      <w:r>
        <w:rPr>
          <w:rFonts w:ascii="sans-serif" w:hAnsi="sans-serif"/>
          <w:b w:val="false"/>
          <w:color w:val="000000"/>
          <w:sz w:val="22"/>
        </w:rPr>
        <w:t>(a)    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sans-serif" w:hAnsi="sans-serif"/>
          <w:b/>
          <w:i/>
          <w:color w:val="000000"/>
          <w:sz w:val="22"/>
        </w:rPr>
        <w:t>Withdrawal Election</w:t>
      </w:r>
      <w:r>
        <w:rPr>
          <w:color w:val="000000"/>
        </w:rPr>
        <w:t>”</w:t>
      </w:r>
      <w:r>
        <w:rPr>
          <w:rFonts w:ascii="sans-serif" w:hAnsi="sans-serif"/>
          <w:b w:val="false"/>
          <w:color w:val="000000"/>
          <w:sz w:val="22"/>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For clarity, during an Offering Period, a Participant may elect to withdraw from the Plan pursuant to clause (ii) and then subsequently elect to withdraw from the Plan pursuant to clause (i), but a withdrawal pursuant to clause (i) shall be final for such Offering Period. Upon receipt of a Withdrawal Election, the Participant’s payroll deduction authorization and, if applicable, the Participant’s Option shall terminate.</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2560"/>
                <wp:effectExtent l="0" t="0" r="0" b="0"/>
                <wp:wrapNone/>
                <wp:docPr id="116" name="Frame1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(c)    Except as otherwise permitted by the Administrator and/or as set forth in the Offering Document, a Participant who ceases contributions to the Plan during any Offering Period shall not be permitted to resume contributions to the Plan during that Offering Period.</w:t>
      </w:r>
    </w:p>
    <w:p>
      <w:pPr>
        <w:pStyle w:val="TextBody"/>
        <w:bidi w:val="0"/>
        <w:spacing w:lineRule="auto" w:line="288" w:before="0" w:after="240"/>
        <w:ind w:left="0" w:right="0" w:firstLine="720"/>
        <w:jc w:val="both"/>
        <w:rPr/>
      </w:pPr>
      <w:r>
        <w:rPr>
          <w:rFonts w:ascii="sans-serif" w:hAnsi="sans-serif"/>
          <w:b w:val="false"/>
          <w:color w:val="000000"/>
          <w:sz w:val="22"/>
        </w:rPr>
        <w:t>6.2    </w:t>
      </w:r>
      <w:r>
        <w:rPr>
          <w:rFonts w:ascii="sans-serif" w:hAnsi="sans-serif"/>
          <w:b w:val="false"/>
          <w:color w:val="000000"/>
          <w:sz w:val="22"/>
          <w:u w:val="single"/>
        </w:rPr>
        <w:t>Termination of Eligibility</w:t>
      </w:r>
      <w:r>
        <w:rPr>
          <w:rFonts w:ascii="sans-serif" w:hAnsi="sans-serif"/>
          <w:b w:val="false"/>
          <w:color w:val="000000"/>
          <w:sz w:val="22"/>
        </w:rPr>
        <w:t>. Subject to Section 7.17,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within 30 days after such cessation of being an Eligible Employee, without any interest thereon.</w:t>
      </w:r>
    </w:p>
    <w:p>
      <w:pPr>
        <w:pStyle w:val="TextBody"/>
        <w:bidi w:val="0"/>
        <w:spacing w:lineRule="auto" w:line="288" w:before="0" w:after="0"/>
        <w:ind w:left="0" w:right="0" w:hanging="2"/>
        <w:jc w:val="center"/>
        <w:rPr>
          <w:rFonts w:ascii="sans-serif" w:hAnsi="sans-serif"/>
          <w:b/>
          <w:color w:val="000000"/>
          <w:sz w:val="22"/>
        </w:rPr>
      </w:pPr>
      <w:r>
        <w:rPr>
          <w:rFonts w:ascii="sans-serif" w:hAnsi="sans-serif"/>
          <w:b/>
          <w:color w:val="000000"/>
          <w:sz w:val="22"/>
        </w:rPr>
        <w:t>ARTICLE 7</w:t>
      </w:r>
    </w:p>
    <w:p>
      <w:pPr>
        <w:pStyle w:val="TextBody"/>
        <w:bidi w:val="0"/>
        <w:spacing w:lineRule="auto" w:line="288" w:before="0" w:after="240"/>
        <w:jc w:val="center"/>
        <w:rPr>
          <w:rFonts w:ascii="sans-serif" w:hAnsi="sans-serif"/>
          <w:b/>
          <w:color w:val="000000"/>
          <w:sz w:val="22"/>
        </w:rPr>
      </w:pPr>
      <w:r>
        <w:rPr>
          <w:rFonts w:ascii="sans-serif" w:hAnsi="sans-serif"/>
          <w:b/>
          <w:color w:val="000000"/>
          <w:sz w:val="22"/>
        </w:rPr>
        <w:t>GENERAL PROVISIONS</w:t>
      </w:r>
    </w:p>
    <w:p>
      <w:pPr>
        <w:pStyle w:val="TextBody"/>
        <w:bidi w:val="0"/>
        <w:spacing w:lineRule="auto" w:line="288" w:before="0" w:after="240"/>
        <w:ind w:left="0" w:right="0" w:firstLine="720"/>
        <w:jc w:val="both"/>
        <w:rPr/>
      </w:pPr>
      <w:r>
        <w:rPr>
          <w:rFonts w:ascii="sans-serif" w:hAnsi="sans-serif"/>
          <w:b w:val="false"/>
          <w:color w:val="000000"/>
          <w:sz w:val="22"/>
        </w:rPr>
        <w:t>7.1    </w:t>
      </w:r>
      <w:r>
        <w:rPr>
          <w:rFonts w:ascii="sans-serif" w:hAnsi="sans-serif"/>
          <w:b w:val="false"/>
          <w:color w:val="000000"/>
          <w:sz w:val="22"/>
          <w:u w:val="single"/>
        </w:rPr>
        <w:t>Administration</w:t>
      </w:r>
      <w:r>
        <w:rPr>
          <w:rFonts w:ascii="sans-serif" w:hAnsi="sans-serif"/>
          <w:b w:val="false"/>
          <w:color w:val="000000"/>
          <w:sz w:val="22"/>
        </w:rPr>
        <w: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(a)    Unless otherwise determined by the Board, the Plan shall be administered by the Committee, which shall be composed of members of the Board. To the extent permitted under applicable law, the Committee may delegate administrative or other tasks under the Plan to the services of an Agent or Employees to assist in the administration of the Plan, including establishing and maintaining an individual securities account under the Plan for each Participant.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It shall be the duty of the Administrator to conduct the general administration of the Plan in accordance with the provisions of the Plan. The Administrator shall have the power, subject to, and within the limitations of, the express provisions of the Plan:</w:t>
      </w:r>
    </w:p>
    <w:p>
      <w:pPr>
        <w:pStyle w:val="TextBody"/>
        <w:bidi w:val="0"/>
        <w:spacing w:lineRule="auto" w:line="288" w:before="0" w:after="240"/>
        <w:ind w:left="0" w:right="0" w:firstLine="2160"/>
        <w:jc w:val="both"/>
        <w:rPr/>
      </w:pPr>
      <w:r>
        <w:rPr>
          <w:rFonts w:ascii="Times New Roman;serif" w:hAnsi="Times New Roman;serif"/>
          <w:b w:val="false"/>
          <w:color w:val="000000"/>
          <w:sz w:val="22"/>
        </w:rPr>
        <w:t>(i)    </w:t>
      </w:r>
      <w:r>
        <w:rPr>
          <w:rFonts w:ascii="sans-serif" w:hAnsi="sans-serif"/>
          <w:b w:val="false"/>
          <w:color w:val="000000"/>
          <w:sz w:val="22"/>
        </w:rPr>
        <w:t>To establish and terminate Offerings;</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    </w:t>
      </w:r>
      <w:r>
        <w:rPr>
          <w:rFonts w:ascii="sans-serif" w:hAnsi="sans-serif"/>
          <w:b w:val="false"/>
          <w:color w:val="000000"/>
          <w:sz w:val="22"/>
        </w:rPr>
        <w:t>To determine when and how Options shall be granted and the provisions and terms of each Offering (which need not be identical);</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    </w:t>
      </w:r>
      <w:r>
        <w:rPr>
          <w:rFonts w:ascii="sans-serif" w:hAnsi="sans-serif"/>
          <w:b w:val="false"/>
          <w:color w:val="000000"/>
          <w:sz w:val="22"/>
        </w:rPr>
        <w:t>To select Designated Subsidiaries in accordance with Section 7.2 hereof;</w:t>
      </w:r>
    </w:p>
    <w:p>
      <w:pPr>
        <w:pStyle w:val="TextBody"/>
        <w:bidi w:val="0"/>
        <w:spacing w:lineRule="auto" w:line="288" w:before="0" w:after="240"/>
        <w:ind w:left="0" w:right="0" w:firstLine="2160"/>
        <w:jc w:val="both"/>
        <w:rPr/>
      </w:pPr>
      <w:r>
        <w:rPr>
          <w:rFonts w:ascii="Times New Roman;serif" w:hAnsi="Times New Roman;serif"/>
          <w:b w:val="false"/>
          <w:color w:val="000000"/>
          <w:sz w:val="22"/>
        </w:rPr>
        <w:t>(iv)    </w:t>
      </w:r>
      <w:r>
        <w:rPr>
          <w:rFonts w:ascii="sans-serif" w:hAnsi="sans-serif"/>
          <w:b w:val="false"/>
          <w:color w:val="000000"/>
          <w:sz w:val="22"/>
        </w:rPr>
        <w:t>To impose a mandatory holding period pursuant to which Participants may not dispose of or transfer shares of Common Stock purchased under the Plan for a period of time determined by the Administrator in its discretion; and</w:t>
      </w:r>
    </w:p>
    <w:p>
      <w:pPr>
        <w:pStyle w:val="TextBody"/>
        <w:bidi w:val="0"/>
        <w:spacing w:lineRule="auto" w:line="288" w:before="0" w:after="240"/>
        <w:ind w:left="0" w:right="0" w:firstLine="2160"/>
        <w:jc w:val="both"/>
        <w:rPr/>
      </w:pPr>
      <w:r>
        <w:rPr>
          <w:rFonts w:ascii="Times New Roman;serif" w:hAnsi="Times New Roman;serif"/>
          <w:b w:val="false"/>
          <w:color w:val="000000"/>
          <w:sz w:val="22"/>
        </w:rPr>
        <w:t>(v)    </w:t>
      </w:r>
      <w:r>
        <w:rPr>
          <w:rFonts w:ascii="sans-serif" w:hAnsi="sans-serif"/>
          <w:b w:val="false"/>
          <w:color w:val="000000"/>
          <w:sz w:val="22"/>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(c)    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2560"/>
                <wp:effectExtent l="0" t="0" r="0" b="0"/>
                <wp:wrapNone/>
                <wp:docPr id="117" name="Frame1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12</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certificates which vary with local requirements. In its absolute discretion, the Board may at any time and from time to time exercise any and all rights and duties of the Administrator under the Plan.</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(d)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(e)    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w:t>
      </w:r>
    </w:p>
    <w:p>
      <w:pPr>
        <w:pStyle w:val="TextBody"/>
        <w:bidi w:val="0"/>
        <w:spacing w:lineRule="auto" w:line="288" w:before="0" w:after="240"/>
        <w:ind w:left="0" w:right="0" w:firstLine="720"/>
        <w:jc w:val="both"/>
        <w:rPr/>
      </w:pPr>
      <w:r>
        <w:rPr>
          <w:rFonts w:ascii="sans-serif" w:hAnsi="sans-serif"/>
          <w:b w:val="false"/>
          <w:color w:val="000000"/>
          <w:sz w:val="22"/>
        </w:rPr>
        <w:t>7.2    </w:t>
      </w:r>
      <w:r>
        <w:rPr>
          <w:rFonts w:ascii="sans-serif" w:hAnsi="sans-serif"/>
          <w:b w:val="false"/>
          <w:color w:val="000000"/>
          <w:sz w:val="22"/>
          <w:u w:val="single"/>
        </w:rPr>
        <w:t>Designation of Subsidiary Corporations</w:t>
      </w:r>
      <w:r>
        <w:rPr>
          <w:rFonts w:ascii="sans-serif" w:hAnsi="sans-serif"/>
          <w:b w:val="false"/>
          <w:color w:val="000000"/>
          <w:sz w:val="22"/>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pStyle w:val="TextBody"/>
        <w:bidi w:val="0"/>
        <w:spacing w:lineRule="auto" w:line="288" w:before="0" w:after="240"/>
        <w:ind w:left="0" w:right="0" w:firstLine="720"/>
        <w:jc w:val="both"/>
        <w:rPr/>
      </w:pPr>
      <w:r>
        <w:rPr>
          <w:rFonts w:ascii="sans-serif" w:hAnsi="sans-serif"/>
          <w:b w:val="false"/>
          <w:color w:val="000000"/>
          <w:sz w:val="22"/>
        </w:rPr>
        <w:t>7.3    </w:t>
      </w:r>
      <w:r>
        <w:rPr>
          <w:rFonts w:ascii="sans-serif" w:hAnsi="sans-serif"/>
          <w:b w:val="false"/>
          <w:color w:val="000000"/>
          <w:sz w:val="22"/>
          <w:u w:val="single"/>
        </w:rPr>
        <w:t>Reports</w:t>
      </w:r>
      <w:r>
        <w:rPr>
          <w:rFonts w:ascii="sans-serif" w:hAnsi="sans-serif"/>
          <w:b w:val="false"/>
          <w:color w:val="000000"/>
          <w:sz w:val="22"/>
        </w:rPr>
        <w:t>. Individual accounts shall be maintained for each Participant in the Plan. Statements of Plan Accounts shall be made available to Participants at least annually, which statements shall set forth the amounts of payroll deductions, the Option Price, the number of shares purchased and the remaining cash balance, if any.</w:t>
      </w:r>
    </w:p>
    <w:p>
      <w:pPr>
        <w:pStyle w:val="TextBody"/>
        <w:bidi w:val="0"/>
        <w:spacing w:lineRule="auto" w:line="288" w:before="0" w:after="240"/>
        <w:ind w:left="0" w:right="0" w:firstLine="720"/>
        <w:jc w:val="both"/>
        <w:rPr/>
      </w:pPr>
      <w:r>
        <w:rPr>
          <w:rFonts w:ascii="sans-serif" w:hAnsi="sans-serif"/>
          <w:b w:val="false"/>
          <w:color w:val="000000"/>
          <w:sz w:val="22"/>
        </w:rPr>
        <w:t>7.4    </w:t>
      </w:r>
      <w:r>
        <w:rPr>
          <w:rFonts w:ascii="sans-serif" w:hAnsi="sans-serif"/>
          <w:b w:val="false"/>
          <w:color w:val="000000"/>
          <w:sz w:val="22"/>
          <w:u w:val="single"/>
        </w:rPr>
        <w:t>No Right to Employment</w:t>
      </w:r>
      <w:r>
        <w:rPr>
          <w:rFonts w:ascii="sans-serif" w:hAnsi="sans-serif"/>
          <w:b w:val="false"/>
          <w:color w:val="000000"/>
          <w:sz w:val="22"/>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pStyle w:val="TextBody"/>
        <w:bidi w:val="0"/>
        <w:spacing w:lineRule="auto" w:line="288" w:before="0" w:after="240"/>
        <w:ind w:left="0" w:right="0" w:firstLine="720"/>
        <w:jc w:val="both"/>
        <w:rPr/>
      </w:pPr>
      <w:r>
        <w:rPr>
          <w:rFonts w:ascii="sans-serif" w:hAnsi="sans-serif"/>
          <w:b w:val="false"/>
          <w:color w:val="000000"/>
          <w:sz w:val="22"/>
        </w:rPr>
        <w:t>7.5    </w:t>
      </w:r>
      <w:r>
        <w:rPr>
          <w:rFonts w:ascii="sans-serif" w:hAnsi="sans-serif"/>
          <w:b w:val="false"/>
          <w:color w:val="000000"/>
          <w:sz w:val="22"/>
          <w:u w:val="single"/>
        </w:rPr>
        <w:t>Amendment and Termination of the Plan</w:t>
      </w:r>
      <w:r>
        <w:rPr>
          <w:rFonts w:ascii="sans-serif" w:hAnsi="sans-serif"/>
          <w:b w:val="false"/>
          <w:color w:val="000000"/>
          <w:sz w:val="22"/>
        </w:rPr>
        <w: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(a)    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 xml:space="preserve">(b)    If the Administrator determines that the ongoing operation of the Plan may result in unfavorable financial accounting consequences, the Administrator may, to the extent permitted under Section 423 of the Code, for the Section 423 Component, in its discretion and, to the extent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2560"/>
                <wp:effectExtent l="0" t="0" r="0" b="0"/>
                <wp:wrapNone/>
                <wp:docPr id="118" name="Frame1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13</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necessary or desirable, modify or amend the Plan to reduce or eliminate such accounting consequence including, but not limited to:</w:t>
      </w:r>
    </w:p>
    <w:p>
      <w:pPr>
        <w:pStyle w:val="TextBody"/>
        <w:bidi w:val="0"/>
        <w:spacing w:lineRule="auto" w:line="288" w:before="0" w:after="240"/>
        <w:ind w:left="0" w:right="0" w:firstLine="2160"/>
        <w:jc w:val="both"/>
        <w:rPr/>
      </w:pPr>
      <w:r>
        <w:rPr>
          <w:rFonts w:ascii="Times New Roman;serif" w:hAnsi="Times New Roman;serif"/>
          <w:b w:val="false"/>
          <w:color w:val="000000"/>
          <w:sz w:val="22"/>
        </w:rPr>
        <w:t>(i)    </w:t>
      </w:r>
      <w:r>
        <w:rPr>
          <w:rFonts w:ascii="sans-serif" w:hAnsi="sans-serif"/>
          <w:b w:val="false"/>
          <w:color w:val="000000"/>
          <w:sz w:val="22"/>
        </w:rPr>
        <w:t>altering the Option Price for any Offering Period including an Offering Period underway at the time of the change in Option Price;</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    </w:t>
      </w:r>
      <w:r>
        <w:rPr>
          <w:rFonts w:ascii="sans-serif" w:hAnsi="sans-serif"/>
          <w:b w:val="false"/>
          <w:color w:val="000000"/>
          <w:sz w:val="22"/>
        </w:rPr>
        <w:t>shortening any Offering Period so that the Offering Period ends on a new Exercise Date, including an Offering Period underway at the time of the Administrator action; and</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    </w:t>
      </w:r>
      <w:r>
        <w:rPr>
          <w:rFonts w:ascii="sans-serif" w:hAnsi="sans-serif"/>
          <w:b w:val="false"/>
          <w:color w:val="000000"/>
          <w:sz w:val="22"/>
        </w:rPr>
        <w:t>allocating shares of Common Stock.</w:t>
      </w:r>
    </w:p>
    <w:p>
      <w:pPr>
        <w:pStyle w:val="TextBody"/>
        <w:bidi w:val="0"/>
        <w:spacing w:lineRule="auto" w:line="288" w:before="0" w:after="240"/>
        <w:ind w:left="0" w:right="0" w:firstLine="2160"/>
        <w:jc w:val="both"/>
        <w:rPr>
          <w:rFonts w:ascii="sans-serif" w:hAnsi="sans-serif"/>
          <w:b w:val="false"/>
          <w:color w:val="000000"/>
          <w:sz w:val="22"/>
        </w:rPr>
      </w:pPr>
      <w:r>
        <w:rPr>
          <w:rFonts w:ascii="sans-serif" w:hAnsi="sans-serif"/>
          <w:b w:val="false"/>
          <w:color w:val="000000"/>
          <w:sz w:val="22"/>
        </w:rPr>
        <w:t>Such modifications or amendments shall not require stockholder approval or the consent of any Participant.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(c)    Upon termination of the Plan, the balance in each Participant’s Plan Account shall be refunded as soon as practicable after such termination, without any interest thereon.</w:t>
      </w:r>
    </w:p>
    <w:p>
      <w:pPr>
        <w:pStyle w:val="TextBody"/>
        <w:bidi w:val="0"/>
        <w:spacing w:lineRule="auto" w:line="288" w:before="0" w:after="240"/>
        <w:ind w:left="0" w:right="0" w:firstLine="720"/>
        <w:jc w:val="both"/>
        <w:rPr/>
      </w:pPr>
      <w:r>
        <w:rPr>
          <w:rFonts w:ascii="sans-serif" w:hAnsi="sans-serif"/>
          <w:b w:val="false"/>
          <w:color w:val="000000"/>
          <w:sz w:val="22"/>
        </w:rPr>
        <w:t>7.6    </w:t>
      </w:r>
      <w:r>
        <w:rPr>
          <w:rFonts w:ascii="sans-serif" w:hAnsi="sans-serif"/>
          <w:b w:val="false"/>
          <w:color w:val="000000"/>
          <w:sz w:val="22"/>
          <w:u w:val="single"/>
        </w:rPr>
        <w:t>Use of Funds; No Interest Paid</w:t>
      </w:r>
      <w:r>
        <w:rPr>
          <w:rFonts w:ascii="sans-serif" w:hAnsi="sans-serif"/>
          <w:b w:val="false"/>
          <w:color w:val="000000"/>
          <w:sz w:val="22"/>
        </w:rPr>
        <w:t>. All funds received by the Company by reason of purchase of shares of Common Stock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shall be paid to any Participant or credited under the Plan,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(but absent any such determination, no interest shall apply).</w:t>
      </w:r>
    </w:p>
    <w:p>
      <w:pPr>
        <w:pStyle w:val="TextBody"/>
        <w:bidi w:val="0"/>
        <w:spacing w:lineRule="auto" w:line="288" w:before="0" w:after="240"/>
        <w:ind w:left="0" w:right="0" w:firstLine="720"/>
        <w:jc w:val="both"/>
        <w:rPr/>
      </w:pPr>
      <w:r>
        <w:rPr>
          <w:rFonts w:ascii="sans-serif" w:hAnsi="sans-serif"/>
          <w:b w:val="false"/>
          <w:color w:val="000000"/>
          <w:sz w:val="22"/>
        </w:rPr>
        <w:t>7.7    </w:t>
      </w:r>
      <w:r>
        <w:rPr>
          <w:rFonts w:ascii="sans-serif" w:hAnsi="sans-serif"/>
          <w:b w:val="false"/>
          <w:color w:val="000000"/>
          <w:sz w:val="22"/>
          <w:u w:val="single"/>
        </w:rPr>
        <w:t>Term; Approval by Stockholders</w:t>
      </w:r>
      <w:r>
        <w:rPr>
          <w:rFonts w:ascii="sans-serif" w:hAnsi="sans-serif"/>
          <w:b w:val="false"/>
          <w:color w:val="000000"/>
          <w:sz w:val="22"/>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sans-serif" w:hAnsi="sans-serif"/>
          <w:b w:val="false"/>
          <w:i/>
          <w:color w:val="000000"/>
          <w:sz w:val="22"/>
        </w:rPr>
        <w:t>provided</w:t>
      </w:r>
      <w:r>
        <w:rPr>
          <w:rFonts w:ascii="sans-serif" w:hAnsi="sans-serif"/>
          <w:b w:val="false"/>
          <w:color w:val="000000"/>
          <w:sz w:val="22"/>
        </w:rPr>
        <w:t xml:space="preserve">, </w:t>
      </w:r>
      <w:r>
        <w:rPr>
          <w:rFonts w:ascii="sans-serif" w:hAnsi="sans-serif"/>
          <w:b w:val="false"/>
          <w:i/>
          <w:color w:val="000000"/>
          <w:sz w:val="22"/>
        </w:rPr>
        <w:t>however</w:t>
      </w:r>
      <w:r>
        <w:rPr>
          <w:rFonts w:ascii="sans-serif" w:hAnsi="sans-serif"/>
          <w:b w:val="false"/>
          <w:color w:val="000000"/>
          <w:sz w:val="22"/>
        </w:rPr>
        <w:t xml:space="preserve">, that such Options shall not be exercisable prior to the time when the Plan is approved by the stockholders; </w:t>
      </w:r>
      <w:r>
        <w:rPr>
          <w:rFonts w:ascii="sans-serif" w:hAnsi="sans-serif"/>
          <w:b w:val="false"/>
          <w:i/>
          <w:color w:val="000000"/>
          <w:sz w:val="22"/>
        </w:rPr>
        <w:t>provided</w:t>
      </w:r>
      <w:r>
        <w:rPr>
          <w:rFonts w:ascii="sans-serif" w:hAnsi="sans-serif"/>
          <w:b w:val="false"/>
          <w:color w:val="000000"/>
          <w:sz w:val="22"/>
        </w:rPr>
        <w:t xml:space="preserve">, </w:t>
      </w:r>
      <w:r>
        <w:rPr>
          <w:rFonts w:ascii="sans-serif" w:hAnsi="sans-serif"/>
          <w:b w:val="false"/>
          <w:i/>
          <w:color w:val="000000"/>
          <w:sz w:val="22"/>
        </w:rPr>
        <w:t>further</w:t>
      </w:r>
      <w:r>
        <w:rPr>
          <w:color w:val="000000"/>
        </w:rPr>
        <w:t xml:space="preserve"> </w:t>
      </w:r>
      <w:r>
        <w:rPr>
          <w:rFonts w:ascii="sans-serif" w:hAnsi="sans-serif"/>
          <w:b w:val="false"/>
          <w:color w:val="000000"/>
          <w:sz w:val="22"/>
        </w:rPr>
        <w:t>that if such approval has not been obtained by the end of the 12-month period, all Options previously granted under the Plan shall thereupon terminate and be canceled and become null and void without being exercised.</w:t>
      </w:r>
    </w:p>
    <w:p>
      <w:pPr>
        <w:pStyle w:val="TextBody"/>
        <w:bidi w:val="0"/>
        <w:spacing w:lineRule="auto" w:line="288" w:before="0" w:after="240"/>
        <w:ind w:left="0" w:right="0" w:firstLine="720"/>
        <w:jc w:val="both"/>
        <w:rPr/>
      </w:pPr>
      <w:r>
        <w:rPr>
          <w:rFonts w:ascii="sans-serif" w:hAnsi="sans-serif"/>
          <w:b w:val="false"/>
          <w:color w:val="000000"/>
          <w:sz w:val="22"/>
        </w:rPr>
        <w:t>7.8    </w:t>
      </w:r>
      <w:r>
        <w:rPr>
          <w:rFonts w:ascii="sans-serif" w:hAnsi="sans-serif"/>
          <w:b w:val="false"/>
          <w:color w:val="000000"/>
          <w:sz w:val="22"/>
          <w:u w:val="single"/>
        </w:rPr>
        <w:t>Effect Upon Other Plans</w:t>
      </w:r>
      <w:r>
        <w:rPr>
          <w:rFonts w:ascii="sans-serif" w:hAnsi="sans-serif"/>
          <w:b w:val="false"/>
          <w:color w:val="000000"/>
          <w:sz w:val="22"/>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pStyle w:val="TextBody"/>
        <w:bidi w:val="0"/>
        <w:spacing w:lineRule="auto" w:line="288" w:before="0" w:after="240"/>
        <w:ind w:left="0" w:right="0" w:firstLine="720"/>
        <w:jc w:val="both"/>
        <w:rPr/>
      </w:pPr>
      <w:r>
        <w:rPr>
          <w:rFonts w:ascii="sans-serif" w:hAnsi="sans-serif"/>
          <w:b w:val="false"/>
          <w:color w:val="000000"/>
          <w:sz w:val="22"/>
        </w:rPr>
        <w:t>7.9    </w:t>
      </w:r>
      <w:r>
        <w:rPr>
          <w:rFonts w:ascii="sans-serif" w:hAnsi="sans-serif"/>
          <w:b w:val="false"/>
          <w:color w:val="000000"/>
          <w:sz w:val="22"/>
          <w:u w:val="single"/>
        </w:rPr>
        <w:t>Conformity to Securities Laws</w:t>
      </w:r>
      <w:r>
        <w:rPr>
          <w:rFonts w:ascii="sans-serif" w:hAnsi="sans-serif"/>
          <w:b w:val="false"/>
          <w:color w:val="000000"/>
          <w:sz w:val="22"/>
        </w:rPr>
        <w:t xml:space="preserve">. Notwithstanding any other provision of the Plan, the Plan and the participation in the Plan by any individual who is then subject to Section 16 of the Exchange Act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2560"/>
                <wp:effectExtent l="0" t="0" r="0" b="0"/>
                <wp:wrapNone/>
                <wp:docPr id="119" name="Frame1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14</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pStyle w:val="TextBody"/>
        <w:bidi w:val="0"/>
        <w:spacing w:lineRule="auto" w:line="288" w:before="0" w:after="240"/>
        <w:ind w:left="0" w:right="0" w:firstLine="720"/>
        <w:jc w:val="both"/>
        <w:rPr/>
      </w:pPr>
      <w:r>
        <w:rPr>
          <w:rFonts w:ascii="sans-serif" w:hAnsi="sans-serif"/>
          <w:b w:val="false"/>
          <w:color w:val="000000"/>
          <w:sz w:val="22"/>
        </w:rPr>
        <w:t>7.10    </w:t>
      </w:r>
      <w:r>
        <w:rPr>
          <w:rFonts w:ascii="sans-serif" w:hAnsi="sans-serif"/>
          <w:b w:val="false"/>
          <w:color w:val="000000"/>
          <w:sz w:val="22"/>
          <w:u w:val="single"/>
        </w:rPr>
        <w:t>Notice of Disposition of Shares</w:t>
      </w:r>
      <w:r>
        <w:rPr>
          <w:rFonts w:ascii="sans-serif" w:hAnsi="sans-serif"/>
          <w:b w:val="false"/>
          <w:color w:val="000000"/>
          <w:sz w:val="22"/>
        </w:rPr>
        <w:t>. Each Participant in the Section 423 Component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pStyle w:val="TextBody"/>
        <w:bidi w:val="0"/>
        <w:spacing w:lineRule="auto" w:line="288" w:before="0" w:after="240"/>
        <w:ind w:left="0" w:right="0" w:firstLine="720"/>
        <w:jc w:val="both"/>
        <w:rPr/>
      </w:pPr>
      <w:r>
        <w:rPr>
          <w:rFonts w:ascii="sans-serif" w:hAnsi="sans-serif"/>
          <w:b w:val="false"/>
          <w:color w:val="000000"/>
          <w:sz w:val="22"/>
        </w:rPr>
        <w:t>7.11    </w:t>
      </w:r>
      <w:r>
        <w:rPr>
          <w:rFonts w:ascii="sans-serif" w:hAnsi="sans-serif"/>
          <w:b w:val="false"/>
          <w:color w:val="000000"/>
          <w:sz w:val="22"/>
          <w:u w:val="single"/>
        </w:rPr>
        <w:t>Tax Withholding</w:t>
      </w:r>
      <w:r>
        <w:rPr>
          <w:rFonts w:ascii="sans-serif" w:hAnsi="sans-serif"/>
          <w:b w:val="false"/>
          <w:color w:val="000000"/>
          <w:sz w:val="22"/>
        </w:rPr>
        <w:t>. The Company or any Parent or any Subsidiary shall be entitled to withhold any federal, state or local tax or other amounts required to be withheld by applicable law with respect to participation in the Plan by (a) withholding from wages or other cash compensation payable to each Participant, (b) withholding from the proceeds of the sale of shares of Common Stock purchased under the Plan, either through a Participant’s voluntary sale or through a mandatory sale arranged by the Company, (c) withholding shares of Common Stock otherwise issuable upon exercise of an Option under the Plan or (d) withholding by any other method determined by the Company and compliant with applicable law. If any withholding obligation described in the foregoing sentence will be satisfied under clause (b) thereof, each Participant’s enrollment in the Plan will constitute the Participant’s authorization to the Company and instruction and authorization to the Agent selected to effect the sale to complete the transactions described in clause (b).</w:t>
      </w:r>
    </w:p>
    <w:p>
      <w:pPr>
        <w:pStyle w:val="TextBody"/>
        <w:bidi w:val="0"/>
        <w:spacing w:lineRule="auto" w:line="288" w:before="0" w:after="240"/>
        <w:ind w:left="0" w:right="0" w:firstLine="720"/>
        <w:jc w:val="both"/>
        <w:rPr/>
      </w:pPr>
      <w:r>
        <w:rPr>
          <w:rFonts w:ascii="sans-serif" w:hAnsi="sans-serif"/>
          <w:b w:val="false"/>
          <w:color w:val="000000"/>
          <w:sz w:val="22"/>
        </w:rPr>
        <w:t>7.12    </w:t>
      </w:r>
      <w:r>
        <w:rPr>
          <w:rFonts w:ascii="sans-serif" w:hAnsi="sans-serif"/>
          <w:b w:val="false"/>
          <w:color w:val="000000"/>
          <w:sz w:val="22"/>
          <w:u w:val="single"/>
        </w:rPr>
        <w:t>Governing Law</w:t>
      </w:r>
      <w:r>
        <w:rPr>
          <w:rFonts w:ascii="sans-serif" w:hAnsi="sans-serif"/>
          <w:b w:val="false"/>
          <w:color w:val="000000"/>
          <w:sz w:val="22"/>
        </w:rPr>
        <w:t>. The Plan and all rights and obligations thereunder shall be construed and enforced in accordance with the laws of the State of Delaware, without regard to the conflict of law rules thereof or of any other jurisdiction.</w:t>
      </w:r>
    </w:p>
    <w:p>
      <w:pPr>
        <w:pStyle w:val="TextBody"/>
        <w:bidi w:val="0"/>
        <w:spacing w:lineRule="auto" w:line="288" w:before="0" w:after="240"/>
        <w:ind w:left="0" w:right="0" w:firstLine="720"/>
        <w:jc w:val="both"/>
        <w:rPr/>
      </w:pPr>
      <w:r>
        <w:rPr>
          <w:rFonts w:ascii="sans-serif" w:hAnsi="sans-serif"/>
          <w:b w:val="false"/>
          <w:color w:val="000000"/>
          <w:sz w:val="22"/>
        </w:rPr>
        <w:t>7.13    </w:t>
      </w:r>
      <w:r>
        <w:rPr>
          <w:rFonts w:ascii="sans-serif" w:hAnsi="sans-serif"/>
          <w:b w:val="false"/>
          <w:color w:val="000000"/>
          <w:sz w:val="22"/>
          <w:u w:val="single"/>
        </w:rPr>
        <w:t>Notices</w:t>
      </w:r>
      <w:r>
        <w:rPr>
          <w:rFonts w:ascii="sans-serif" w:hAnsi="sans-serif"/>
          <w:b w:val="false"/>
          <w:color w:val="000000"/>
          <w:sz w:val="22"/>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lineRule="auto" w:line="288" w:before="0" w:after="240"/>
        <w:ind w:left="0" w:right="0" w:firstLine="720"/>
        <w:jc w:val="both"/>
        <w:rPr/>
      </w:pPr>
      <w:r>
        <w:rPr>
          <w:rFonts w:ascii="sans-serif" w:hAnsi="sans-serif"/>
          <w:b w:val="false"/>
          <w:color w:val="000000"/>
          <w:sz w:val="22"/>
        </w:rPr>
        <w:t>7.14    </w:t>
      </w:r>
      <w:r>
        <w:rPr>
          <w:rFonts w:ascii="sans-serif" w:hAnsi="sans-serif"/>
          <w:b w:val="false"/>
          <w:color w:val="000000"/>
          <w:sz w:val="22"/>
          <w:u w:val="single"/>
        </w:rPr>
        <w:t>Conditions To Issuance of Shares</w:t>
      </w:r>
      <w:r>
        <w:rPr>
          <w:rFonts w:ascii="sans-serif" w:hAnsi="sans-serif"/>
          <w:b w:val="false"/>
          <w:color w:val="000000"/>
          <w:sz w:val="22"/>
        </w:rPr>
        <w:t>.</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(a)    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2560"/>
                <wp:effectExtent l="0" t="0" r="0" b="0"/>
                <wp:wrapNone/>
                <wp:docPr id="120" name="Frame11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15</w:t>
                      </w:r>
                    </w:p>
                  </w:txbxContent>
                </v:textbox>
                <w10:wrap type="none"/>
              </v:rect>
            </w:pict>
          </mc:Fallback>
        </mc:AlternateConten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(b)    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(c)    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pStyle w:val="TextBody"/>
        <w:bidi w:val="0"/>
        <w:spacing w:lineRule="auto" w:line="288" w:before="0" w:after="240"/>
        <w:ind w:left="0" w:right="0" w:firstLine="1440"/>
        <w:jc w:val="both"/>
        <w:rPr>
          <w:rFonts w:ascii="sans-serif" w:hAnsi="sans-serif"/>
          <w:b w:val="false"/>
          <w:color w:val="000000"/>
          <w:sz w:val="22"/>
        </w:rPr>
      </w:pPr>
      <w:r>
        <w:rPr>
          <w:rFonts w:ascii="sans-serif" w:hAnsi="sans-serif"/>
          <w:b w:val="false"/>
          <w:color w:val="000000"/>
          <w:sz w:val="22"/>
        </w:rPr>
        <w:t>(d)    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pStyle w:val="TextBody"/>
        <w:bidi w:val="0"/>
        <w:spacing w:lineRule="auto" w:line="288" w:before="0" w:after="240"/>
        <w:ind w:left="0" w:right="0" w:firstLine="720"/>
        <w:jc w:val="both"/>
        <w:rPr/>
      </w:pPr>
      <w:r>
        <w:rPr>
          <w:rFonts w:ascii="sans-serif" w:hAnsi="sans-serif"/>
          <w:b w:val="false"/>
          <w:color w:val="000000"/>
          <w:sz w:val="22"/>
        </w:rPr>
        <w:t>7.15    </w:t>
      </w:r>
      <w:r>
        <w:rPr>
          <w:rFonts w:ascii="sans-serif" w:hAnsi="sans-serif"/>
          <w:b w:val="false"/>
          <w:color w:val="000000"/>
          <w:sz w:val="22"/>
          <w:u w:val="single"/>
        </w:rPr>
        <w:t>Equal Rights and Privileges</w:t>
      </w:r>
      <w:r>
        <w:rPr>
          <w:rFonts w:ascii="sans-serif" w:hAnsi="sans-serif"/>
          <w:b w:val="false"/>
          <w:color w:val="000000"/>
          <w:sz w:val="22"/>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pStyle w:val="TextBody"/>
        <w:bidi w:val="0"/>
        <w:spacing w:lineRule="auto" w:line="288" w:before="0" w:after="240"/>
        <w:ind w:left="0" w:right="0" w:firstLine="720"/>
        <w:jc w:val="both"/>
        <w:rPr/>
      </w:pPr>
      <w:r>
        <w:rPr>
          <w:rFonts w:ascii="sans-serif" w:hAnsi="sans-serif"/>
          <w:b w:val="false"/>
          <w:color w:val="000000"/>
          <w:sz w:val="22"/>
        </w:rPr>
        <w:t>7.16    </w:t>
      </w:r>
      <w:r>
        <w:rPr>
          <w:rFonts w:ascii="sans-serif" w:hAnsi="sans-serif"/>
          <w:b w:val="false"/>
          <w:color w:val="000000"/>
          <w:sz w:val="22"/>
          <w:u w:val="single"/>
        </w:rPr>
        <w:t>Rules Particular to Specific Countries</w:t>
      </w:r>
      <w:r>
        <w:rPr>
          <w:rFonts w:ascii="sans-serif" w:hAnsi="sans-serif"/>
          <w:b w:val="false"/>
          <w:color w:val="000000"/>
          <w:sz w:val="22"/>
        </w:rPr>
        <w:t xml:space="preserve">.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Without limiting the generality of the foregoing, the Administrator is specifically authorized to adopt rules and procedures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in each case, in accordance with the requirements of Section 423 of the Code with respect to the Section 423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2560"/>
                <wp:effectExtent l="0" t="0" r="0" b="0"/>
                <wp:wrapNone/>
                <wp:docPr id="121" name="Frame11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16</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Component.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 Administrator are inconsistent with the requirements of Section 423 of the Code or would jeopardize the tax-qualified status of the Section 423 Component, the change shall cause the Designated Subsidiaries affected thereby to be considered Designated Subsidiaries in a separate Offering under the Non-Section 423 Component instead of the Section 423 Component. To the extent any Employee of a Designated Subsidiary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pStyle w:val="TextBody"/>
        <w:bidi w:val="0"/>
        <w:spacing w:lineRule="auto" w:line="288" w:before="0" w:after="240"/>
        <w:ind w:left="0" w:right="0" w:firstLine="720"/>
        <w:jc w:val="both"/>
        <w:rPr>
          <w:rFonts w:ascii="sans-serif" w:hAnsi="sans-serif"/>
          <w:b w:val="false"/>
          <w:color w:val="000000"/>
          <w:sz w:val="22"/>
        </w:rPr>
      </w:pPr>
      <w:r>
        <w:rPr>
          <w:rFonts w:ascii="sans-serif" w:hAnsi="sans-serif"/>
          <w:b w:val="false"/>
          <w:color w:val="000000"/>
          <w:sz w:val="22"/>
        </w:rPr>
        <w:t>7.17    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pStyle w:val="TextBody"/>
        <w:bidi w:val="0"/>
        <w:spacing w:lineRule="auto" w:line="288" w:before="0" w:after="240"/>
        <w:ind w:left="0" w:right="0" w:firstLine="720"/>
        <w:jc w:val="both"/>
        <w:rPr/>
      </w:pPr>
      <w:r>
        <w:rPr>
          <w:rFonts w:ascii="sans-serif" w:hAnsi="sans-serif"/>
          <w:b w:val="false"/>
          <w:color w:val="000000"/>
          <w:sz w:val="22"/>
        </w:rPr>
        <w:t>7.18    </w:t>
      </w:r>
      <w:r>
        <w:rPr>
          <w:rFonts w:ascii="sans-serif" w:hAnsi="sans-serif"/>
          <w:b w:val="false"/>
          <w:color w:val="000000"/>
          <w:sz w:val="22"/>
          <w:u w:val="single"/>
        </w:rPr>
        <w:t>Transfer of Employment</w:t>
      </w:r>
      <w:r>
        <w:rPr>
          <w:rFonts w:ascii="sans-serif" w:hAnsi="sans-serif"/>
          <w:b w:val="false"/>
          <w:color w:val="000000"/>
          <w:sz w:val="22"/>
        </w:rPr>
        <w:t>. A transfer of employment from one Designated Subsidiary to another shall not be treated as a termination of employment. If a Participant transfers employment from the Company or any Designated Subsidiary participating in the Section 423 Component to a Designated Subsidiary participating in the Non-Section 423 Component, he or she shall immediately cease to participate in the Section 423 Component; however, any payroll deductions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Designated Subsidiary participating in the Non-Section 423 Component to the Company or any Designated Subsidiary participating in the Section 423 Component shall remain a Participant in the Non-Section 423 Component until the earlier of (i) the end of the current Offering Period under the Non-Section 423 Component, or (ii) the Enrollment Date of the first Offering Period in which he or she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pStyle w:val="TextBody"/>
        <w:bidi w:val="0"/>
        <w:spacing w:lineRule="auto" w:line="288" w:before="0" w:after="240"/>
        <w:ind w:left="0" w:right="0" w:firstLine="720"/>
        <w:jc w:val="both"/>
        <w:rPr/>
      </w:pPr>
      <w:r>
        <w:rPr>
          <w:rFonts w:ascii="sans-serif" w:hAnsi="sans-serif"/>
          <w:b w:val="false"/>
          <w:color w:val="000000"/>
          <w:sz w:val="22"/>
        </w:rPr>
        <w:t>7.19    </w:t>
      </w:r>
      <w:r>
        <w:rPr>
          <w:rFonts w:ascii="sans-serif" w:hAnsi="sans-serif"/>
          <w:b w:val="false"/>
          <w:color w:val="000000"/>
          <w:sz w:val="22"/>
          <w:u w:val="single"/>
        </w:rPr>
        <w:t>Section 409A</w:t>
      </w:r>
      <w:r>
        <w:rPr>
          <w:rFonts w:ascii="sans-serif" w:hAnsi="sans-serif"/>
          <w:b w:val="false"/>
          <w:color w:val="000000"/>
          <w:sz w:val="22"/>
        </w:rPr>
        <w:t xml:space="preserve">.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2560"/>
                <wp:effectExtent l="0" t="0" r="0" b="0"/>
                <wp:wrapNone/>
                <wp:docPr id="122" name="Frame12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17</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pStyle w:val="TextBody"/>
        <w:bidi w:val="0"/>
        <w:spacing w:lineRule="auto" w:line="288" w:before="0" w:after="240"/>
        <w:ind w:left="0" w:right="0" w:hanging="2"/>
        <w:jc w:val="center"/>
        <w:rPr>
          <w:rFonts w:ascii="sans-serif" w:hAnsi="sans-serif"/>
          <w:b w:val="false"/>
          <w:color w:val="000000"/>
          <w:sz w:val="22"/>
        </w:rPr>
      </w:pPr>
      <w:r>
        <w:rPr>
          <w:rFonts w:ascii="sans-serif" w:hAnsi="sans-serif"/>
          <w:b w:val="false"/>
          <w:color w:val="000000"/>
          <w:sz w:val="22"/>
        </w:rPr>
        <w:t>* * * * *</w:t>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2560"/>
                <wp:effectExtent l="0" t="0" r="0" b="0"/>
                <wp:wrapNone/>
                <wp:docPr id="123" name="Frame12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hanging="2"/>
                        <w:jc w:val="center"/>
                        <w:rPr>
                          <w:rFonts w:ascii="sans-serif" w:hAnsi="sans-serif"/>
                          <w:b w:val="false"/>
                          <w:color w:val="000000"/>
                          <w:sz w:val="22"/>
                        </w:rPr>
                      </w:pPr>
                      <w:r>
                        <w:rPr>
                          <w:rFonts w:ascii="sans-serif" w:hAnsi="sans-serif"/>
                          <w:b w:val="false"/>
                          <w:color w:val="000000"/>
                          <w:sz w:val="22"/>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9963/000162828026032523/exhibit31-sx1.htm" TargetMode="External"/><Relationship Id="rId3" Type="http://schemas.openxmlformats.org/officeDocument/2006/relationships/hyperlink" Target="https://www.sec.gov/Archives/edgar/data/1699963/000162828026044471/exhibit32-sx1a1.htm" TargetMode="External"/><Relationship Id="rId4" Type="http://schemas.openxmlformats.org/officeDocument/2006/relationships/hyperlink" Target="https://www.sec.gov/Archives/edgar/data/1699963/000162828026032523/exhibit33-sx1.htm" TargetMode="External"/><Relationship Id="rId5" Type="http://schemas.openxmlformats.org/officeDocument/2006/relationships/hyperlink" Target="https://www.sec.gov/Archives/edgar/data/1699963/000162828026044471/exhibit34-sx1a1.htm" TargetMode="External"/><Relationship Id="rId6" Type="http://schemas.openxmlformats.org/officeDocument/2006/relationships/hyperlink" Target="https://www.sec.gov/Archives/edgar/data/1699963/000162828026044471/exhibit41-sx1a1.htm" TargetMode="External"/><Relationship Id="rId7" Type="http://schemas.openxmlformats.org/officeDocument/2006/relationships/hyperlink" Target="https://www.sec.gov/Archives/edgar/data/1699963/000162828026046333/exhibit232-sx8.htm" TargetMode="External"/><Relationship Id="rId8" Type="http://schemas.openxmlformats.org/officeDocument/2006/relationships/hyperlink" Target="https://www.sec.gov/Archives/edgar/data/1699963/000162828026032523/exhibit101-sx1.htm" TargetMode="External"/><Relationship Id="rId9" Type="http://schemas.openxmlformats.org/officeDocument/2006/relationships/hyperlink" Target="https://www.sec.gov/ix?doc=/Archives/edgar/data/1699963/000162828026046333/limefilingfee.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121</Pages>
  <Words>55505</Words>
  <Characters>296253</Characters>
  <CharactersWithSpaces>351886</CharactersWithSpaces>
  <Paragraphs>1352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